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F37338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69BE2871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bookmarkStart w:id="0" w:name="_GoBack"/>
      <w:bookmarkEnd w:id="0"/>
    </w:p>
    <w:p w14:paraId="25331343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val="en-US" w:eastAsia="zh-CN"/>
        </w:rPr>
        <w:t>察雅县自然资源局关于《察雅县国土空间总体规划动态维护方案（2026 年度）》的公示</w:t>
      </w:r>
    </w:p>
    <w:p w14:paraId="25DCD218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2C87412F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为贯彻党的二十届四中全会精神，按照国家、西藏自治区关于国土空间总体规划动态维护工作的统一安排部署，察雅县人民政府组织编制了《察雅县国土空间总体规划动态维护方案（2026 年度）》（以下简称《方案》）。</w:t>
      </w:r>
    </w:p>
    <w:p w14:paraId="1EEEC4C0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为进一步提高《方案》的科学性、合理性和可实施性，现就《方案》予以公示，面向社会公开征求意见，欢迎有关单位和社会各界人士提出宝贵意见和建议。</w:t>
      </w:r>
    </w:p>
    <w:p w14:paraId="05B8E585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一、公示时间</w:t>
      </w:r>
    </w:p>
    <w:p w14:paraId="3227C8BA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2026年6月5日至2026年6月9日</w:t>
      </w:r>
    </w:p>
    <w:p w14:paraId="0393886B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二、反馈方式</w:t>
      </w:r>
    </w:p>
    <w:p w14:paraId="0B7D2741">
      <w:pPr>
        <w:pStyle w:val="2"/>
        <w:spacing w:line="260" w:lineRule="auto"/>
        <w:ind w:firstLine="640" w:firstLineChars="200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个人以书面或电子邮件形式反馈，注明联系人、联系方式；单位须以书面形式反馈并加盖单位公章。请在邮件名称上注明“察雅县国土空间总体规划动态维护方案（2026 年度）（公示稿）公示意见建议”字样。</w:t>
      </w:r>
    </w:p>
    <w:p w14:paraId="1A5FF70D">
      <w:pPr>
        <w:pStyle w:val="2"/>
        <w:spacing w:line="260" w:lineRule="auto"/>
        <w:rPr>
          <w:rFonts w:hint="default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highlight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highlight w:val="none"/>
          <w:lang w:val="en-US" w:eastAsia="zh-CN" w:bidi="ar-SA"/>
        </w:rPr>
        <w:t>三、联系电话：0895-4602110</w:t>
      </w:r>
    </w:p>
    <w:p w14:paraId="37B21CFD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highlight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highlight w:val="none"/>
          <w:lang w:val="en-US" w:eastAsia="zh-CN" w:bidi="ar-SA"/>
        </w:rPr>
        <w:t>四、联系地址：西藏自治区昌都市察雅县烟多镇幸福街16号‌‌‌</w:t>
      </w:r>
    </w:p>
    <w:p w14:paraId="1C5F7C2B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highlight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highlight w:val="none"/>
          <w:lang w:val="en-US" w:eastAsia="zh-CN" w:bidi="ar-SA"/>
        </w:rPr>
        <w:t>五、电子邮箱：sjzkjghk@163.com</w:t>
      </w:r>
    </w:p>
    <w:p w14:paraId="36C8070E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</w:p>
    <w:p w14:paraId="57B0D75D">
      <w:pPr>
        <w:pStyle w:val="2"/>
        <w:spacing w:line="260" w:lineRule="auto"/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napToGrid w:val="0"/>
          <w:color w:val="000000"/>
          <w:kern w:val="0"/>
          <w:sz w:val="32"/>
          <w:szCs w:val="21"/>
          <w:lang w:val="en-US" w:eastAsia="zh-CN" w:bidi="ar-SA"/>
        </w:rPr>
        <w:t>附件：察雅县国土空间总体规划动态维护方案（2026 年度）（公示稿）</w:t>
      </w:r>
    </w:p>
    <w:p w14:paraId="0EA09784">
      <w:pPr>
        <w:pStyle w:val="2"/>
        <w:spacing w:line="260" w:lineRule="auto"/>
      </w:pPr>
    </w:p>
    <w:p w14:paraId="2B9F3148">
      <w:pPr>
        <w:pStyle w:val="2"/>
        <w:spacing w:line="260" w:lineRule="auto"/>
      </w:pPr>
    </w:p>
    <w:p w14:paraId="7BBE5492">
      <w:pPr>
        <w:pStyle w:val="2"/>
        <w:spacing w:line="260" w:lineRule="auto"/>
      </w:pPr>
    </w:p>
    <w:p w14:paraId="6689496B">
      <w:pPr>
        <w:pStyle w:val="2"/>
        <w:spacing w:line="260" w:lineRule="auto"/>
      </w:pPr>
    </w:p>
    <w:p w14:paraId="711B0CB2">
      <w:pPr>
        <w:pStyle w:val="2"/>
        <w:spacing w:line="260" w:lineRule="auto"/>
      </w:pPr>
    </w:p>
    <w:p w14:paraId="039FA2B9">
      <w:pPr>
        <w:pStyle w:val="2"/>
        <w:spacing w:line="260" w:lineRule="auto"/>
      </w:pPr>
    </w:p>
    <w:p w14:paraId="0C3D9FD0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52"/>
          <w:szCs w:val="52"/>
          <w:lang w:eastAsia="zh-CN"/>
        </w:rPr>
      </w:pPr>
    </w:p>
    <w:p w14:paraId="2EB1E97C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52"/>
          <w:szCs w:val="52"/>
          <w:lang w:eastAsia="zh-CN"/>
        </w:rPr>
      </w:pPr>
    </w:p>
    <w:p w14:paraId="31C0E710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察雅县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  <w:t>国土空间总体规划动态维护方案</w:t>
      </w:r>
    </w:p>
    <w:p w14:paraId="57033122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  <w:t>2026 年度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）</w:t>
      </w:r>
    </w:p>
    <w:p w14:paraId="5FF76403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76C12A36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05266156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53357CFB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28CB1D67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45D081B7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1BDF66CF">
      <w:pPr>
        <w:spacing w:before="13" w:line="227" w:lineRule="auto"/>
        <w:ind w:left="3357"/>
        <w:rPr>
          <w:rFonts w:ascii="楷体" w:hAnsi="楷体" w:eastAsia="楷体" w:cs="楷体"/>
          <w:sz w:val="35"/>
          <w:szCs w:val="35"/>
        </w:rPr>
      </w:pPr>
      <w:r>
        <w:rPr>
          <w:rFonts w:ascii="楷体" w:hAnsi="楷体" w:eastAsia="楷体" w:cs="楷体"/>
          <w:spacing w:val="18"/>
          <w:sz w:val="35"/>
          <w:szCs w:val="35"/>
        </w:rPr>
        <w:t>（公示稿）</w:t>
      </w:r>
    </w:p>
    <w:p w14:paraId="2CBFA08D">
      <w:pPr>
        <w:pStyle w:val="2"/>
        <w:spacing w:line="246" w:lineRule="auto"/>
      </w:pPr>
    </w:p>
    <w:p w14:paraId="13A8D4AF">
      <w:pPr>
        <w:pStyle w:val="2"/>
        <w:spacing w:line="246" w:lineRule="auto"/>
      </w:pPr>
    </w:p>
    <w:p w14:paraId="477A64B1">
      <w:pPr>
        <w:pStyle w:val="2"/>
        <w:spacing w:line="246" w:lineRule="auto"/>
      </w:pPr>
    </w:p>
    <w:p w14:paraId="7B38691C">
      <w:pPr>
        <w:pStyle w:val="2"/>
        <w:spacing w:line="246" w:lineRule="auto"/>
      </w:pPr>
    </w:p>
    <w:p w14:paraId="194CAE77">
      <w:pPr>
        <w:pStyle w:val="2"/>
        <w:spacing w:line="246" w:lineRule="auto"/>
      </w:pPr>
    </w:p>
    <w:p w14:paraId="32E844F0">
      <w:pPr>
        <w:pStyle w:val="2"/>
        <w:spacing w:line="246" w:lineRule="auto"/>
      </w:pPr>
    </w:p>
    <w:p w14:paraId="382F9658">
      <w:pPr>
        <w:pStyle w:val="2"/>
        <w:spacing w:line="247" w:lineRule="auto"/>
      </w:pPr>
    </w:p>
    <w:p w14:paraId="3BA9B4F8">
      <w:pPr>
        <w:pStyle w:val="2"/>
        <w:spacing w:line="247" w:lineRule="auto"/>
      </w:pPr>
    </w:p>
    <w:p w14:paraId="40013263">
      <w:pPr>
        <w:pStyle w:val="2"/>
        <w:spacing w:line="247" w:lineRule="auto"/>
      </w:pPr>
    </w:p>
    <w:p w14:paraId="05C569F7">
      <w:pPr>
        <w:pStyle w:val="2"/>
        <w:spacing w:line="247" w:lineRule="auto"/>
      </w:pPr>
    </w:p>
    <w:p w14:paraId="6E2322D2">
      <w:pPr>
        <w:pStyle w:val="2"/>
        <w:spacing w:line="247" w:lineRule="auto"/>
      </w:pPr>
    </w:p>
    <w:p w14:paraId="356BE6CE">
      <w:pPr>
        <w:pStyle w:val="2"/>
        <w:spacing w:line="247" w:lineRule="auto"/>
      </w:pPr>
    </w:p>
    <w:p w14:paraId="4CF825A5">
      <w:pPr>
        <w:pStyle w:val="2"/>
        <w:spacing w:line="247" w:lineRule="auto"/>
      </w:pPr>
    </w:p>
    <w:p w14:paraId="221C4849">
      <w:pPr>
        <w:pStyle w:val="2"/>
        <w:spacing w:line="247" w:lineRule="auto"/>
      </w:pPr>
    </w:p>
    <w:p w14:paraId="5B2FF37F">
      <w:pPr>
        <w:pStyle w:val="2"/>
        <w:spacing w:line="247" w:lineRule="auto"/>
      </w:pPr>
    </w:p>
    <w:p w14:paraId="3D52678F">
      <w:pPr>
        <w:pStyle w:val="2"/>
        <w:spacing w:line="247" w:lineRule="auto"/>
      </w:pPr>
    </w:p>
    <w:p w14:paraId="1BB03C6C">
      <w:pPr>
        <w:pStyle w:val="2"/>
        <w:spacing w:line="247" w:lineRule="auto"/>
      </w:pPr>
    </w:p>
    <w:p w14:paraId="042CE2AB">
      <w:pPr>
        <w:spacing w:before="101" w:line="223" w:lineRule="auto"/>
        <w:ind w:left="3169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spacing w:val="4"/>
          <w:sz w:val="31"/>
          <w:szCs w:val="31"/>
          <w:lang w:val="en-US" w:eastAsia="zh-CN"/>
        </w:rPr>
        <w:t>察雅县</w:t>
      </w:r>
      <w:r>
        <w:rPr>
          <w:rFonts w:ascii="楷体" w:hAnsi="楷体" w:eastAsia="楷体" w:cs="楷体"/>
          <w:spacing w:val="4"/>
          <w:sz w:val="31"/>
          <w:szCs w:val="31"/>
        </w:rPr>
        <w:t>人民政府</w:t>
      </w:r>
    </w:p>
    <w:p w14:paraId="5FCD99FF">
      <w:pPr>
        <w:spacing w:before="225" w:line="222" w:lineRule="auto"/>
        <w:ind w:left="3419"/>
        <w:rPr>
          <w:rFonts w:ascii="楷体" w:hAnsi="楷体" w:eastAsia="楷体" w:cs="楷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2026 </w:t>
      </w:r>
      <w:r>
        <w:rPr>
          <w:rFonts w:ascii="楷体" w:hAnsi="楷体" w:eastAsia="楷体" w:cs="楷体"/>
          <w:spacing w:val="1"/>
          <w:sz w:val="31"/>
          <w:szCs w:val="31"/>
        </w:rPr>
        <w:t>年</w:t>
      </w:r>
      <w:r>
        <w:rPr>
          <w:rFonts w:ascii="楷体" w:hAnsi="楷体" w:eastAsia="楷体" w:cs="楷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3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</w:rPr>
        <w:t>月</w:t>
      </w:r>
    </w:p>
    <w:p w14:paraId="6011F2D4">
      <w:pPr>
        <w:spacing w:line="222" w:lineRule="auto"/>
        <w:rPr>
          <w:rFonts w:ascii="楷体" w:hAnsi="楷体" w:eastAsia="楷体" w:cs="楷体"/>
          <w:sz w:val="31"/>
          <w:szCs w:val="31"/>
        </w:rPr>
        <w:sectPr>
          <w:pgSz w:w="11906" w:h="16838"/>
          <w:pgMar w:top="1431" w:right="1785" w:bottom="0" w:left="1785" w:header="0" w:footer="0" w:gutter="0"/>
          <w:cols w:space="720" w:num="1"/>
        </w:sectPr>
      </w:pPr>
    </w:p>
    <w:p w14:paraId="5F1C9391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</w:p>
    <w:p w14:paraId="4998E7FE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本次动态维护工作基于《2024年察雅县国土空间规划城市体检评估》的相关结论与建议，严守空间安全底线，不突破总体规划确定的保护目标、空间结构与强制性内容。维护方案聚焦目标战略深化落实、功能格局持续稳定、空间要素精准保障，着力支撑“十五五”规划实施，优先化解项目落地空间矛盾，为察雅县经济社会高质量发展提供坚实的国土空间规划支撑。</w:t>
      </w:r>
    </w:p>
    <w:p w14:paraId="509BDC3B">
      <w:pPr>
        <w:spacing w:before="147" w:line="360" w:lineRule="auto"/>
        <w:ind w:left="671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4"/>
          <w:position w:val="1"/>
          <w:sz w:val="31"/>
          <w:szCs w:val="31"/>
        </w:rPr>
        <w:t>一、正向优化三条控制线</w:t>
      </w:r>
    </w:p>
    <w:p w14:paraId="7E2F3676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永久基本农田“优进劣出”。以优化农业生产力布局、促进适度规模经营为目标，衔接耕地保护和国土绿化空间专项规划，动态维护永久基本农田，维护后总面积10.12万亩，不低于永久基本农田保护任务，确保总量不减少、质量有提升、布局更合理、集中连片度有提高。</w:t>
      </w:r>
    </w:p>
    <w:p w14:paraId="3E2EAE3C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生态保护红线“整合优化”。以巩固生态保护格局、提升生态系统完整性为目标，动态维护生态保护红线，维护后总面积2417.04平方千米，确保生态保护红线面积不减少、功能不降低。</w:t>
      </w:r>
    </w:p>
    <w:p w14:paraId="45DCA73A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城镇开发边界“集聚增效”。以优化城镇发展格局、增强城镇发展动能为目标，在严守城镇开发边界扩展倍数的前提下，重点围绕“十五五”项目落地，以及公共服务设施及基础设施一体化，动态维护城镇开发边界，维护后扩展倍数保持1.25不变。</w:t>
      </w:r>
    </w:p>
    <w:p w14:paraId="1263E871">
      <w:pPr>
        <w:spacing w:before="3" w:line="360" w:lineRule="auto"/>
        <w:ind w:left="735"/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  <w:t>二、合理优化规划分区</w:t>
      </w:r>
    </w:p>
    <w:p w14:paraId="3A354A40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依据永久基本农田、生态保护红线、城镇开发边界的动态维护优化成果，以空间战略格局优化为导向，对农田保护区、生态保护区、城镇发展区进行优化调整，并同步联动优化乡村发展区等布局，确保各分区主导功能稳定、空间布局集中连片、整体格局完整联通。</w:t>
      </w:r>
    </w:p>
    <w:p w14:paraId="5D5E11CA">
      <w:pPr>
        <w:spacing w:before="3" w:line="360" w:lineRule="auto"/>
        <w:ind w:left="735"/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三、完善中心城区功能体系</w:t>
      </w:r>
    </w:p>
    <w:p w14:paraId="277D1D6E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优化中心城区土地使用和功能布局，完善城市功能和优化空间结构。统筹各级生活圈建设，完善教育、医疗、养老等公共服务设施布局，完善蓝绿开敞空间系统，促进存量用地集约集聚，引导要素合理配置。</w:t>
      </w:r>
    </w:p>
    <w:p w14:paraId="76DD2099">
      <w:pPr>
        <w:spacing w:before="3" w:line="360" w:lineRule="auto"/>
        <w:ind w:left="689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4"/>
          <w:position w:val="1"/>
          <w:sz w:val="31"/>
          <w:szCs w:val="31"/>
        </w:rPr>
        <w:t>四、优化其他重要控制线</w:t>
      </w:r>
    </w:p>
    <w:p w14:paraId="0A5E4455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在不改变国土空间总体规划确定的城市总体格局和空间结构前提下，按照确实有助于总体规划实施的原则，对中心城区城市绿线、蓝线、紫线、黄线等控制线规模和布局进行优化，相应调整完善控制线内部规划绿地、公共管理与公共服务、公用设施等用地规模和布局。</w:t>
      </w:r>
    </w:p>
    <w:p w14:paraId="35CA4C73">
      <w:pPr>
        <w:spacing w:before="3" w:line="360" w:lineRule="auto"/>
        <w:ind w:left="657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五、更新</w:t>
      </w: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  <w:t>年度</w:t>
      </w: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重点建设项目清单</w:t>
      </w:r>
    </w:p>
    <w:p w14:paraId="415BC7B0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 xml:space="preserve">以“十五五”重大建设项目清单为基础，衔接各类专项规划，精准梳理基础扎实、实施条件成熟、实施诉求强烈的重点项目，全面开展能源、交通、电力、水利等重点领域项目增补与校核更新，强化项目空间保障，推动规划落地实施。  </w:t>
      </w:r>
    </w:p>
    <w:p w14:paraId="4D60ABF6">
      <w:pPr>
        <w:rPr>
          <w:rFonts w:ascii="微软雅黑" w:hAnsi="微软雅黑" w:eastAsia="微软雅黑" w:cs="微软雅黑"/>
          <w:spacing w:val="-1"/>
          <w:position w:val="-2"/>
          <w:sz w:val="40"/>
          <w:szCs w:val="40"/>
        </w:rPr>
      </w:pPr>
      <w:r>
        <w:rPr>
          <w:rFonts w:ascii="微软雅黑" w:hAnsi="微软雅黑" w:eastAsia="微软雅黑" w:cs="微软雅黑"/>
          <w:spacing w:val="-1"/>
          <w:position w:val="-2"/>
          <w:sz w:val="40"/>
          <w:szCs w:val="40"/>
        </w:rPr>
        <w:br w:type="page"/>
      </w:r>
    </w:p>
    <w:p w14:paraId="48A7FE8D">
      <w:pPr>
        <w:spacing w:before="223" w:line="240" w:lineRule="auto"/>
        <w:ind w:left="231"/>
        <w:jc w:val="left"/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val="en-US" w:eastAsia="zh-CN"/>
        </w:rPr>
        <w:t>附件：</w:t>
      </w:r>
    </w:p>
    <w:p w14:paraId="08867146">
      <w:pPr>
        <w:spacing w:before="101" w:line="222" w:lineRule="auto"/>
        <w:ind w:left="4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图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l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三条控制线维护前图</w:t>
      </w:r>
    </w:p>
    <w:p w14:paraId="4363BFC5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  <w:sectPr>
          <w:footerReference r:id="rId5" w:type="default"/>
          <w:pgSz w:w="11906" w:h="16838"/>
          <w:pgMar w:top="1424" w:right="1785" w:bottom="1151" w:left="1785" w:header="0" w:footer="968" w:gutter="0"/>
          <w:cols w:space="720" w:num="1"/>
        </w:sectPr>
      </w:pPr>
      <w:r>
        <w:rPr>
          <w:rFonts w:ascii="仿宋" w:hAnsi="仿宋" w:eastAsia="仿宋" w:cs="仿宋"/>
          <w:sz w:val="31"/>
          <w:szCs w:val="31"/>
        </w:rPr>
        <w:t>图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 </w:t>
      </w:r>
      <w:r>
        <w:rPr>
          <w:rFonts w:ascii="仿宋" w:hAnsi="仿宋" w:eastAsia="仿宋" w:cs="仿宋"/>
          <w:sz w:val="31"/>
          <w:szCs w:val="31"/>
        </w:rPr>
        <w:t>三条控制线维护后图</w:t>
      </w:r>
    </w:p>
    <w:p w14:paraId="3544BA92">
      <w:pPr>
        <w:spacing w:line="22388" w:lineRule="exact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-344805</wp:posOffset>
            </wp:positionV>
            <wp:extent cx="10692130" cy="7200265"/>
            <wp:effectExtent l="0" t="0" r="6350" b="8255"/>
            <wp:wrapTopAndBottom/>
            <wp:docPr id="1" name="图片 1" descr="C:/Users/husil/Desktop/察雅县图纸成果/01.jpg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husil/Desktop/察雅县图纸成果/01.jpg01"/>
                    <pic:cNvPicPr/>
                  </pic:nvPicPr>
                  <pic:blipFill>
                    <a:blip r:embed="rId9"/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122A7">
      <w:pPr>
        <w:spacing w:line="22388" w:lineRule="exact"/>
        <w:rPr>
          <w:rFonts w:hint="eastAsia" w:eastAsia="宋体"/>
          <w:lang w:eastAsia="zh-CN"/>
        </w:rPr>
        <w:sectPr>
          <w:headerReference r:id="rId6" w:type="default"/>
          <w:footerReference r:id="rId7" w:type="default"/>
          <w:pgSz w:w="16838" w:h="11906" w:orient="landscape"/>
          <w:pgMar w:top="720" w:right="720" w:bottom="720" w:left="720" w:header="0" w:footer="0" w:gutter="0"/>
          <w:cols w:space="720" w:num="1"/>
        </w:sectPr>
      </w:pPr>
    </w:p>
    <w:p w14:paraId="7E974416">
      <w:pPr>
        <w:spacing w:line="22388" w:lineRule="exac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51435</wp:posOffset>
            </wp:positionV>
            <wp:extent cx="10692130" cy="7200265"/>
            <wp:effectExtent l="0" t="0" r="6350" b="8255"/>
            <wp:wrapSquare wrapText="bothSides"/>
            <wp:docPr id="2" name="图片 2" descr="C:/Users/husil/Desktop/察雅县图纸成果/02.jpg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husil/Desktop/察雅县图纸成果/02.jpg02"/>
                    <pic:cNvPicPr/>
                  </pic:nvPicPr>
                  <pic:blipFill>
                    <a:blip r:embed="rId10"/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1" w:bottom="6" w:left="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" w:fontKey="{0CD5480E-A3D5-459E-B1A4-6695257F6FF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24EC953D-D084-485B-90AA-D519A692A77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4B64BF-3034-468F-A3FA-4B7ABA64FF4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D79C47BE-BA0D-497C-9F4D-8E4FA9D837E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F70DDF26-0F10-4E41-8DEE-63D23BAD0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CF6EB39-8C66-4DB1-B980-1D3D3253239E}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1FE5E">
    <w:pPr>
      <w:spacing w:line="181" w:lineRule="auto"/>
      <w:ind w:left="4118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55ADFD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34511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1C63276"/>
    <w:rsid w:val="08862705"/>
    <w:rsid w:val="2237485C"/>
    <w:rsid w:val="31300F41"/>
    <w:rsid w:val="31EB2083"/>
    <w:rsid w:val="345E6795"/>
    <w:rsid w:val="408D50B0"/>
    <w:rsid w:val="48606DC0"/>
    <w:rsid w:val="5BDB381E"/>
    <w:rsid w:val="645366CA"/>
    <w:rsid w:val="659265CD"/>
    <w:rsid w:val="68C00829"/>
    <w:rsid w:val="73F449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56eb8988-0c71-48cb-97e0-384e87fd8283</errorID>
      <errorWord>日至2026年</errorWord>
      <group>L1_Word</group>
      <groupName>字词问题</groupName>
      <ability>L2_Typo</ability>
      <abilityName>字词错误</abilityName>
      <candidateList>
        <item>日起至2026年</item>
      </candidateList>
      <explain/>
      <paraID>3227C8BA</paraID>
      <start>8</start>
      <end>15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1e0f52a4-6470-4524-8127-9fc9940c24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1418</Words>
  <Characters>1488</Characters>
  <TotalTime>82</TotalTime>
  <ScaleCrop>false</ScaleCrop>
  <LinksUpToDate>false</LinksUpToDate>
  <CharactersWithSpaces>1504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2026-05-07T17:16:00Z</dcterms:created>
  <dc:creator>纸鹤</dc:creator>
  <cp:lastModifiedBy>WPS_1639125859</cp:lastModifiedBy>
  <cp:lastPrinted>2026-06-05T07:41:00Z</cp:lastPrinted>
  <dcterms:modified xsi:type="dcterms:W3CDTF">2026-06-05T08:49:05Z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2026-05-16T21:30:19Z</vt:filetime>
  </property>
  <property fmtid="{D5CDD505-2E9C-101B-9397-08002B2CF9AE}" pid="4" name="KSOTemplateDocerSaveRecord">
    <vt:lpwstr>eyJoZGlkIjoiNmE3NDA5OGZjM2MzMGIzYWZlZDM5NTYzNmQ4OWExYjgiLCJ1c2VySWQiOiIxMzAzODQ2MDI2In0=</vt:lpwstr>
  </property>
  <property fmtid="{D5CDD505-2E9C-101B-9397-08002B2CF9AE}" pid="5" name="KSOProductBuildVer">
    <vt:lpwstr>2052-12.1.0.25865</vt:lpwstr>
  </property>
  <property fmtid="{D5CDD505-2E9C-101B-9397-08002B2CF9AE}" pid="6" name="ICV">
    <vt:lpwstr>977011C83E594A36869FBEDF409D3AA2_13</vt:lpwstr>
  </property>
</Properties>
</file>