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894" w:rsidRDefault="00312894" w:rsidP="00312894">
      <w:pPr>
        <w:jc w:val="center"/>
        <w:outlineLvl w:val="0"/>
        <w:rPr>
          <w:rFonts w:ascii="华文中宋" w:eastAsia="华文中宋" w:hAnsi="华文中宋" w:cs="黑体"/>
          <w:color w:val="000000"/>
          <w:sz w:val="36"/>
          <w:szCs w:val="32"/>
        </w:rPr>
      </w:pPr>
      <w:r>
        <w:rPr>
          <w:rFonts w:ascii="华文中宋" w:eastAsia="华文中宋" w:hAnsi="华文中宋" w:cs="黑体" w:hint="eastAsia"/>
          <w:color w:val="000000"/>
          <w:sz w:val="36"/>
          <w:szCs w:val="32"/>
        </w:rPr>
        <w:t>202</w:t>
      </w:r>
      <w:r>
        <w:rPr>
          <w:rFonts w:ascii="华文中宋" w:eastAsia="华文中宋" w:hAnsi="华文中宋" w:cs="黑体"/>
          <w:color w:val="000000"/>
          <w:sz w:val="36"/>
          <w:szCs w:val="32"/>
        </w:rPr>
        <w:t>3</w:t>
      </w:r>
      <w:r>
        <w:rPr>
          <w:rFonts w:ascii="华文中宋" w:eastAsia="华文中宋" w:hAnsi="华文中宋" w:cs="黑体" w:hint="eastAsia"/>
          <w:color w:val="000000"/>
          <w:sz w:val="36"/>
          <w:szCs w:val="32"/>
        </w:rPr>
        <w:t>年度部门决算报表说明</w:t>
      </w:r>
    </w:p>
    <w:p w:rsidR="00312894" w:rsidRDefault="00312894" w:rsidP="00312894">
      <w:pPr>
        <w:spacing w:line="211" w:lineRule="atLeast"/>
        <w:jc w:val="center"/>
        <w:outlineLvl w:val="0"/>
        <w:rPr>
          <w:rFonts w:ascii="华文中宋" w:eastAsia="华文中宋" w:hAnsi="华文中宋" w:cs="宋体"/>
          <w:color w:val="000000"/>
          <w:sz w:val="36"/>
          <w:szCs w:val="32"/>
        </w:rPr>
      </w:pPr>
      <w:r>
        <w:rPr>
          <w:rFonts w:ascii="华文中宋" w:eastAsia="华文中宋" w:hAnsi="华文中宋" w:cs="宋体" w:hint="eastAsia"/>
          <w:color w:val="000000"/>
          <w:sz w:val="36"/>
          <w:szCs w:val="32"/>
        </w:rPr>
        <w:t>（</w:t>
      </w:r>
      <w:r>
        <w:rPr>
          <w:rFonts w:ascii="华文中宋" w:eastAsia="华文中宋" w:hAnsi="华文中宋" w:cs="黑体" w:hint="eastAsia"/>
          <w:color w:val="000000"/>
          <w:sz w:val="36"/>
          <w:szCs w:val="32"/>
        </w:rPr>
        <w:t>部门汇总编写格式</w:t>
      </w:r>
      <w:r>
        <w:rPr>
          <w:rFonts w:ascii="华文中宋" w:eastAsia="华文中宋" w:hAnsi="华文中宋" w:cs="宋体" w:hint="eastAsia"/>
          <w:color w:val="000000"/>
          <w:sz w:val="36"/>
          <w:szCs w:val="32"/>
        </w:rPr>
        <w:t>）</w:t>
      </w:r>
    </w:p>
    <w:p w:rsidR="00312894" w:rsidRDefault="00312894" w:rsidP="00312894">
      <w:pPr>
        <w:jc w:val="center"/>
        <w:rPr>
          <w:rFonts w:ascii="仿宋_GB2312" w:eastAsia="仿宋_GB2312" w:hAnsi="华文中宋" w:cs="黑体"/>
          <w:color w:val="000000"/>
          <w:sz w:val="32"/>
          <w:szCs w:val="32"/>
        </w:rPr>
      </w:pPr>
    </w:p>
    <w:p w:rsidR="00312894" w:rsidRDefault="00312894" w:rsidP="00312894">
      <w:pPr>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一、决算汇编基本情况</w:t>
      </w:r>
    </w:p>
    <w:p w:rsidR="00312894" w:rsidRDefault="00312894" w:rsidP="00312894">
      <w:pPr>
        <w:ind w:firstLineChars="200" w:firstLine="643"/>
        <w:outlineLvl w:val="0"/>
        <w:rPr>
          <w:rFonts w:ascii="楷体_GB2312" w:eastAsia="楷体_GB2312" w:hAnsi="Times New Roman" w:cs="Times New Roman"/>
          <w:b/>
          <w:color w:val="000000"/>
          <w:sz w:val="32"/>
          <w:szCs w:val="32"/>
        </w:rPr>
      </w:pPr>
      <w:r>
        <w:rPr>
          <w:rFonts w:ascii="楷体_GB2312" w:eastAsia="楷体_GB2312" w:hAnsi="仿宋" w:cs="仿宋" w:hint="eastAsia"/>
          <w:b/>
          <w:color w:val="000000"/>
          <w:sz w:val="32"/>
          <w:szCs w:val="32"/>
        </w:rPr>
        <w:t>（一）部门机构情况说明。</w:t>
      </w:r>
    </w:p>
    <w:p w:rsidR="00312894" w:rsidRDefault="00312894" w:rsidP="00312894">
      <w:pPr>
        <w:ind w:firstLineChars="200" w:firstLine="640"/>
        <w:rPr>
          <w:rFonts w:ascii="仿宋_GB2312" w:eastAsia="仿宋_GB2312" w:hAnsi="仿宋" w:cs="Times New Roman"/>
          <w:color w:val="000000"/>
          <w:sz w:val="32"/>
          <w:szCs w:val="32"/>
        </w:rPr>
      </w:pP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2023</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年度，纳入本部门决算汇编范围的独立核算单位共</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1</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个，比上年增减</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个，分类说明如下：</w:t>
      </w:r>
    </w:p>
    <w:tbl>
      <w:tblPr>
        <w:tblW w:w="8528" w:type="dxa"/>
        <w:tblInd w:w="2" w:type="dxa"/>
        <w:tblLayout w:type="fixed"/>
        <w:tblCellMar>
          <w:left w:w="0" w:type="dxa"/>
          <w:right w:w="0" w:type="dxa"/>
        </w:tblCellMar>
        <w:tblLook w:val="0000"/>
      </w:tblPr>
      <w:tblGrid>
        <w:gridCol w:w="3199"/>
        <w:gridCol w:w="1092"/>
        <w:gridCol w:w="1056"/>
        <w:gridCol w:w="3181"/>
      </w:tblGrid>
      <w:tr w:rsidR="00312894" w:rsidTr="008A5885">
        <w:trPr>
          <w:trHeight w:val="832"/>
        </w:trPr>
        <w:tc>
          <w:tcPr>
            <w:tcW w:w="31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项目</w:t>
            </w:r>
          </w:p>
        </w:tc>
        <w:tc>
          <w:tcPr>
            <w:tcW w:w="10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数量</w:t>
            </w:r>
          </w:p>
        </w:tc>
        <w:tc>
          <w:tcPr>
            <w:tcW w:w="10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比上年增减</w:t>
            </w:r>
          </w:p>
        </w:tc>
        <w:tc>
          <w:tcPr>
            <w:tcW w:w="318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spacing w:line="70" w:lineRule="atLeast"/>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变动原因说明</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jc w:val="center"/>
              <w:rPr>
                <w:rFonts w:ascii="仿宋_GB2312" w:eastAsia="仿宋_GB2312" w:hAnsi="仿宋" w:cs="Times New Roman"/>
                <w:sz w:val="24"/>
                <w:szCs w:val="32"/>
              </w:rPr>
            </w:pPr>
            <w:r>
              <w:rPr>
                <w:rFonts w:ascii="仿宋_GB2312" w:eastAsia="仿宋_GB2312" w:hAnsi="仿宋" w:cs="仿宋_GB2312" w:hint="eastAsia"/>
                <w:color w:val="000000"/>
                <w:sz w:val="24"/>
                <w:szCs w:val="32"/>
              </w:rPr>
              <w:t>合</w:t>
            </w:r>
            <w:r>
              <w:rPr>
                <w:rFonts w:ascii="仿宋_GB2312" w:eastAsia="仿宋_GB2312" w:hAnsi="Times New Roman" w:cs="Times New Roman" w:hint="eastAsia"/>
                <w:color w:val="000000"/>
                <w:sz w:val="24"/>
                <w:szCs w:val="32"/>
              </w:rPr>
              <w:t>    </w:t>
            </w:r>
            <w:r>
              <w:rPr>
                <w:rFonts w:ascii="仿宋_GB2312" w:eastAsia="仿宋_GB2312" w:hAnsi="仿宋" w:cs="仿宋_GB2312" w:hint="eastAsia"/>
                <w:color w:val="000000"/>
                <w:sz w:val="24"/>
                <w:szCs w:val="32"/>
              </w:rPr>
              <w:t>计</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32"/>
              </w:rPr>
            </w:pPr>
            <w:r>
              <w:rPr>
                <w:rFonts w:ascii="仿宋_GB2312" w:eastAsia="仿宋_GB2312" w:hAnsi="仿宋" w:cs="仿宋_GB2312" w:hint="eastAsia"/>
                <w:color w:val="000000"/>
                <w:sz w:val="24"/>
                <w:szCs w:val="32"/>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一、按单位类型</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行政单位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1</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0</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行政类事业单位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公益一类事业单位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公益二类事业单位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生产经营类事业单位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暂未分类事业单位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hint="eastAsia"/>
                <w:color w:val="000000"/>
                <w:sz w:val="24"/>
                <w:szCs w:val="28"/>
              </w:rPr>
            </w:pPr>
            <w:r>
              <w:rPr>
                <w:rFonts w:ascii="仿宋_GB2312" w:eastAsia="仿宋_GB2312" w:hAnsi="Times New Roman" w:cs="Times New Roman" w:hint="eastAsia"/>
                <w:color w:val="000000"/>
                <w:sz w:val="24"/>
                <w:szCs w:val="28"/>
              </w:rPr>
              <w:t xml:space="preserve">  企业</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其他单位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二、按执行会计制度</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Times New Roman" w:cs="Times New Roman" w:hint="eastAsia"/>
                <w:color w:val="000000"/>
                <w:sz w:val="24"/>
                <w:szCs w:val="28"/>
              </w:rPr>
              <w:t xml:space="preserve"> 政府会计准则制度</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1</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0</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ind w:firstLineChars="100" w:firstLine="240"/>
              <w:rPr>
                <w:rFonts w:ascii="仿宋_GB2312" w:eastAsia="仿宋_GB2312" w:hAnsi="仿宋" w:cs="仿宋_GB2312" w:hint="eastAsia"/>
                <w:color w:val="000000"/>
                <w:sz w:val="24"/>
                <w:szCs w:val="28"/>
              </w:rPr>
            </w:pPr>
            <w:r>
              <w:rPr>
                <w:rFonts w:ascii="仿宋_GB2312" w:eastAsia="仿宋_GB2312" w:hAnsi="仿宋" w:cs="仿宋_GB2312" w:hint="eastAsia"/>
                <w:color w:val="000000"/>
                <w:sz w:val="24"/>
                <w:szCs w:val="28"/>
              </w:rPr>
              <w:t>企业会计准则</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ind w:firstLineChars="100" w:firstLine="240"/>
              <w:rPr>
                <w:rFonts w:ascii="仿宋_GB2312" w:eastAsia="仿宋_GB2312" w:hAnsi="仿宋" w:cs="仿宋_GB2312" w:hint="eastAsia"/>
                <w:color w:val="000000"/>
                <w:sz w:val="24"/>
                <w:szCs w:val="28"/>
              </w:rPr>
            </w:pPr>
            <w:r>
              <w:rPr>
                <w:rFonts w:ascii="仿宋_GB2312" w:eastAsia="仿宋_GB2312" w:hAnsi="仿宋" w:cs="仿宋_GB2312" w:hint="eastAsia"/>
                <w:color w:val="000000"/>
                <w:sz w:val="24"/>
                <w:szCs w:val="28"/>
              </w:rPr>
              <w:t>小企业会计准则</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ind w:firstLineChars="100" w:firstLine="220"/>
              <w:rPr>
                <w:rFonts w:ascii="仿宋_GB2312" w:eastAsia="仿宋_GB2312" w:hAnsi="仿宋" w:cs="Times New Roman"/>
                <w:sz w:val="24"/>
                <w:szCs w:val="28"/>
              </w:rPr>
            </w:pPr>
            <w:r>
              <w:rPr>
                <w:rFonts w:ascii="仿宋_GB2312" w:eastAsia="仿宋_GB2312" w:hAnsi="仿宋" w:cs="仿宋_GB2312" w:hint="eastAsia"/>
                <w:color w:val="000000"/>
                <w:szCs w:val="24"/>
              </w:rPr>
              <w:lastRenderedPageBreak/>
              <w:t>民间非营利组织会计制度</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r>
              <w:rPr>
                <w:rFonts w:ascii="仿宋_GB2312" w:eastAsia="仿宋_GB2312" w:hAnsi="仿宋" w:cs="仿宋_GB2312" w:hint="eastAsia"/>
                <w:color w:val="FF0000"/>
                <w:sz w:val="24"/>
                <w:szCs w:val="28"/>
              </w:rPr>
              <w:t xml:space="preserve">  </w:t>
            </w:r>
            <w:r>
              <w:rPr>
                <w:rFonts w:ascii="仿宋_GB2312" w:eastAsia="仿宋_GB2312" w:hAnsi="仿宋" w:cs="仿宋_GB2312" w:hint="eastAsia"/>
                <w:color w:val="000000"/>
                <w:szCs w:val="24"/>
              </w:rPr>
              <w:t>军工科研事业单位会计制度</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ind w:firstLineChars="100" w:firstLine="240"/>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其他</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三、按单位预算级次</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一级预算单位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1</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0</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二级预算单位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1</w:t>
            </w: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r>
              <w:rPr>
                <w:rFonts w:ascii="仿宋_GB2312" w:eastAsia="仿宋_GB2312" w:hAnsi="仿宋" w:cs="仿宋_GB2312" w:hint="eastAsia"/>
                <w:color w:val="000000"/>
                <w:sz w:val="24"/>
                <w:szCs w:val="28"/>
              </w:rPr>
              <w:t>0</w:t>
            </w: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三级预算单位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color w:val="000000"/>
                <w:sz w:val="24"/>
                <w:szCs w:val="28"/>
              </w:rPr>
            </w:pPr>
          </w:p>
        </w:tc>
      </w:tr>
      <w:tr w:rsidR="00312894" w:rsidTr="008A5885">
        <w:trPr>
          <w:trHeight w:val="285"/>
        </w:trPr>
        <w:tc>
          <w:tcPr>
            <w:tcW w:w="31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仿宋_GB2312" w:hint="eastAsia"/>
                <w:color w:val="000000"/>
                <w:sz w:val="24"/>
                <w:szCs w:val="28"/>
              </w:rPr>
            </w:pPr>
            <w:r>
              <w:rPr>
                <w:rFonts w:ascii="仿宋_GB2312" w:eastAsia="仿宋_GB2312" w:hAnsi="仿宋" w:cs="仿宋_GB2312" w:hint="eastAsia"/>
                <w:color w:val="000000"/>
                <w:sz w:val="24"/>
                <w:szCs w:val="28"/>
              </w:rPr>
              <w:t xml:space="preserve">  四级预算单位</w:t>
            </w:r>
          </w:p>
        </w:tc>
        <w:tc>
          <w:tcPr>
            <w:tcW w:w="1092"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p>
        </w:tc>
        <w:tc>
          <w:tcPr>
            <w:tcW w:w="1056"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jc w:val="center"/>
              <w:rPr>
                <w:rFonts w:ascii="仿宋_GB2312" w:eastAsia="仿宋_GB2312" w:hAnsi="仿宋" w:cs="Times New Roman" w:hint="eastAsia"/>
                <w:sz w:val="24"/>
                <w:szCs w:val="28"/>
              </w:rPr>
            </w:pPr>
          </w:p>
        </w:tc>
        <w:tc>
          <w:tcPr>
            <w:tcW w:w="3181" w:type="dxa"/>
            <w:tcBorders>
              <w:top w:val="nil"/>
              <w:left w:val="nil"/>
              <w:bottom w:val="single" w:sz="8" w:space="0" w:color="auto"/>
              <w:right w:val="single" w:sz="8" w:space="0" w:color="auto"/>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p>
        </w:tc>
      </w:tr>
    </w:tbl>
    <w:p w:rsidR="00312894" w:rsidRDefault="00312894" w:rsidP="00312894">
      <w:pPr>
        <w:ind w:firstLine="567"/>
        <w:rPr>
          <w:rFonts w:ascii="仿宋_GB2312" w:eastAsia="仿宋_GB2312" w:hAnsi="仿宋" w:cs="仿宋"/>
          <w:b/>
          <w:color w:val="000000"/>
          <w:sz w:val="32"/>
          <w:szCs w:val="32"/>
        </w:rPr>
      </w:pPr>
      <w:r>
        <w:rPr>
          <w:rFonts w:ascii="楷体_GB2312" w:eastAsia="楷体_GB2312" w:hAnsi="仿宋" w:cs="仿宋" w:hint="eastAsia"/>
          <w:b/>
          <w:color w:val="000000"/>
          <w:sz w:val="32"/>
          <w:szCs w:val="32"/>
        </w:rPr>
        <w:t>（二）部门录入户数说明</w:t>
      </w:r>
      <w:r>
        <w:rPr>
          <w:rFonts w:ascii="仿宋_GB2312" w:eastAsia="仿宋_GB2312" w:hAnsi="仿宋" w:cs="仿宋" w:hint="eastAsia"/>
          <w:b/>
          <w:color w:val="000000"/>
          <w:sz w:val="32"/>
          <w:szCs w:val="32"/>
        </w:rPr>
        <w:t>。</w:t>
      </w:r>
    </w:p>
    <w:p w:rsidR="00312894" w:rsidRDefault="00312894" w:rsidP="00312894">
      <w:pPr>
        <w:ind w:firstLine="567"/>
        <w:rPr>
          <w:rFonts w:ascii="仿宋_GB2312" w:eastAsia="仿宋_GB2312" w:hAnsi="仿宋" w:cs="仿宋"/>
          <w:b/>
          <w:color w:val="000000"/>
          <w:sz w:val="32"/>
          <w:szCs w:val="32"/>
        </w:rPr>
      </w:pPr>
      <w:r>
        <w:rPr>
          <w:rFonts w:ascii="仿宋_GB2312" w:eastAsia="仿宋_GB2312" w:cs="Times New Roman" w:hint="eastAsia"/>
          <w:color w:val="000000"/>
          <w:sz w:val="32"/>
          <w:szCs w:val="32"/>
          <w:u w:val="single"/>
        </w:rPr>
        <w:t>2023</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年度，本部门决算汇编户数共</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1</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个，比上年增减</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Pr>
          <w:rFonts w:ascii="仿宋_GB2312" w:eastAsia="仿宋_GB2312" w:cs="Times New Roman" w:hint="eastAsia"/>
          <w:color w:val="000000"/>
          <w:sz w:val="32"/>
          <w:szCs w:val="32"/>
          <w:u w:val="single"/>
        </w:rPr>
        <w:t>  </w:t>
      </w:r>
      <w:r>
        <w:rPr>
          <w:rFonts w:ascii="仿宋_GB2312" w:eastAsia="仿宋_GB2312" w:hAnsi="仿宋" w:cs="仿宋" w:hint="eastAsia"/>
          <w:color w:val="000000"/>
          <w:sz w:val="32"/>
          <w:szCs w:val="32"/>
        </w:rPr>
        <w:t>个，分类说明如下：</w:t>
      </w:r>
    </w:p>
    <w:tbl>
      <w:tblPr>
        <w:tblW w:w="8646" w:type="dxa"/>
        <w:tblInd w:w="2" w:type="dxa"/>
        <w:tblLayout w:type="fixed"/>
        <w:tblCellMar>
          <w:left w:w="0" w:type="dxa"/>
          <w:right w:w="0" w:type="dxa"/>
        </w:tblCellMar>
        <w:tblLook w:val="0000"/>
      </w:tblPr>
      <w:tblGrid>
        <w:gridCol w:w="3602"/>
        <w:gridCol w:w="1082"/>
        <w:gridCol w:w="1092"/>
        <w:gridCol w:w="2870"/>
      </w:tblGrid>
      <w:tr w:rsidR="00312894" w:rsidTr="008A5885">
        <w:trPr>
          <w:trHeight w:val="60"/>
          <w:tblHeader/>
        </w:trPr>
        <w:tc>
          <w:tcPr>
            <w:tcW w:w="360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项目</w:t>
            </w:r>
          </w:p>
        </w:tc>
        <w:tc>
          <w:tcPr>
            <w:tcW w:w="108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数量</w:t>
            </w:r>
          </w:p>
        </w:tc>
        <w:tc>
          <w:tcPr>
            <w:tcW w:w="109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比上年增减</w:t>
            </w:r>
          </w:p>
        </w:tc>
        <w:tc>
          <w:tcPr>
            <w:tcW w:w="28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变动原因说明</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jc w:val="center"/>
              <w:rPr>
                <w:rFonts w:ascii="仿宋_GB2312" w:eastAsia="仿宋_GB2312" w:hAnsi="仿宋" w:cs="Times New Roman"/>
                <w:sz w:val="24"/>
                <w:szCs w:val="28"/>
              </w:rPr>
            </w:pPr>
            <w:r>
              <w:rPr>
                <w:rFonts w:ascii="仿宋_GB2312" w:eastAsia="仿宋_GB2312" w:hAnsi="仿宋" w:cs="仿宋_GB2312" w:hint="eastAsia"/>
                <w:color w:val="000000"/>
                <w:sz w:val="24"/>
                <w:szCs w:val="28"/>
              </w:rPr>
              <w:t>合</w:t>
            </w:r>
            <w:r>
              <w:rPr>
                <w:rFonts w:ascii="仿宋_GB2312" w:eastAsia="仿宋_GB2312" w:hAnsi="Times New Roman" w:cs="Times New Roman" w:hint="eastAsia"/>
                <w:color w:val="000000"/>
                <w:sz w:val="24"/>
                <w:szCs w:val="28"/>
              </w:rPr>
              <w:t>    </w:t>
            </w:r>
            <w:r>
              <w:rPr>
                <w:rFonts w:ascii="仿宋_GB2312" w:eastAsia="仿宋_GB2312" w:hAnsi="仿宋" w:cs="仿宋_GB2312" w:hint="eastAsia"/>
                <w:color w:val="000000"/>
                <w:sz w:val="24"/>
                <w:szCs w:val="28"/>
              </w:rPr>
              <w:t>计</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一、单户表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1</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0</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Times New Roman" w:cs="Times New Roman"/>
                <w:sz w:val="24"/>
                <w:szCs w:val="28"/>
              </w:rPr>
            </w:pPr>
            <w:r>
              <w:rPr>
                <w:rFonts w:ascii="仿宋_GB2312" w:eastAsia="仿宋_GB2312" w:hAnsi="Times New Roman"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二、行政单位汇总录入表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三、事业单位汇总录入表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四、</w:t>
            </w:r>
            <w:r>
              <w:rPr>
                <w:rFonts w:ascii="仿宋_GB2312" w:eastAsia="仿宋_GB2312" w:hAnsi="仿宋" w:cs="仿宋_GB2312" w:hint="eastAsia"/>
                <w:color w:val="000000"/>
                <w:szCs w:val="24"/>
              </w:rPr>
              <w:t>经费自理事业单位汇总录入表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五、乡镇汇总录入表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六、其他单位汇总录入表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七、经费差额表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八、调整表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r w:rsidR="00312894" w:rsidTr="008A5885">
        <w:trPr>
          <w:trHeight w:val="300"/>
        </w:trPr>
        <w:tc>
          <w:tcPr>
            <w:tcW w:w="360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九、叠加汇总表</w:t>
            </w:r>
          </w:p>
        </w:tc>
        <w:tc>
          <w:tcPr>
            <w:tcW w:w="108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1092"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c>
          <w:tcPr>
            <w:tcW w:w="2870"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rPr>
                <w:rFonts w:ascii="仿宋_GB2312" w:eastAsia="仿宋_GB2312" w:hAnsi="仿宋" w:cs="Times New Roman"/>
                <w:sz w:val="24"/>
                <w:szCs w:val="28"/>
              </w:rPr>
            </w:pPr>
            <w:r>
              <w:rPr>
                <w:rFonts w:ascii="仿宋_GB2312" w:eastAsia="仿宋_GB2312" w:hAnsi="仿宋" w:cs="仿宋_GB2312" w:hint="eastAsia"/>
                <w:color w:val="000000"/>
                <w:sz w:val="24"/>
                <w:szCs w:val="28"/>
              </w:rPr>
              <w:t xml:space="preserve">　</w:t>
            </w:r>
          </w:p>
        </w:tc>
      </w:tr>
    </w:tbl>
    <w:p w:rsidR="00312894" w:rsidRDefault="00312894" w:rsidP="00312894">
      <w:pPr>
        <w:rPr>
          <w:rFonts w:ascii="仿宋_GB2312" w:eastAsia="仿宋_GB2312" w:hAnsi="仿宋" w:cs="仿宋"/>
          <w:color w:val="000000"/>
          <w:sz w:val="32"/>
          <w:szCs w:val="32"/>
        </w:rPr>
      </w:pPr>
      <w:r>
        <w:rPr>
          <w:rFonts w:ascii="仿宋_GB2312" w:eastAsia="仿宋_GB2312" w:hAnsi="仿宋" w:cs="仿宋" w:hint="eastAsia"/>
          <w:color w:val="000000"/>
          <w:sz w:val="32"/>
          <w:szCs w:val="32"/>
        </w:rPr>
        <w:t>注：主管部门使用经费差额表代编收支及使用调整表调整收支重复汇总数的情况需另作说明，包括代编（或调整）的依据、涉及的单位和金额</w:t>
      </w:r>
    </w:p>
    <w:p w:rsidR="00312894" w:rsidRDefault="00312894" w:rsidP="00312894">
      <w:pPr>
        <w:ind w:firstLineChars="221" w:firstLine="707"/>
        <w:outlineLvl w:val="0"/>
        <w:rPr>
          <w:rFonts w:ascii="黑体" w:eastAsia="黑体" w:hAnsi="黑体" w:cs="Times New Roman"/>
          <w:color w:val="000000"/>
          <w:sz w:val="32"/>
          <w:szCs w:val="32"/>
        </w:rPr>
      </w:pPr>
      <w:r>
        <w:rPr>
          <w:rFonts w:ascii="黑体" w:eastAsia="黑体" w:hAnsi="黑体" w:cs="黑体" w:hint="eastAsia"/>
          <w:color w:val="000000"/>
          <w:sz w:val="32"/>
          <w:szCs w:val="32"/>
        </w:rPr>
        <w:lastRenderedPageBreak/>
        <w:t>二、基础数据核对情况</w:t>
      </w:r>
    </w:p>
    <w:p w:rsidR="00312894" w:rsidRDefault="00312894" w:rsidP="00312894">
      <w:pPr>
        <w:ind w:firstLine="709"/>
        <w:outlineLvl w:val="0"/>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（一）财政资金对账情况。</w:t>
      </w:r>
    </w:p>
    <w:p w:rsidR="00312894" w:rsidRDefault="00312894" w:rsidP="00312894">
      <w:pPr>
        <w:ind w:firstLine="709"/>
        <w:rPr>
          <w:rFonts w:ascii="仿宋_GB2312" w:eastAsia="仿宋_GB2312" w:hAnsi="仿宋" w:cs="Times New Roman"/>
          <w:b/>
          <w:color w:val="000000"/>
          <w:sz w:val="32"/>
          <w:szCs w:val="32"/>
        </w:rPr>
      </w:pPr>
      <w:r>
        <w:rPr>
          <w:rFonts w:ascii="仿宋_GB2312" w:eastAsia="仿宋_GB2312" w:hAnsi="仿宋" w:cs="仿宋" w:hint="eastAsia"/>
          <w:b/>
          <w:color w:val="000000"/>
          <w:sz w:val="32"/>
          <w:szCs w:val="32"/>
        </w:rPr>
        <w:t>1．财政拨款核对情况。</w:t>
      </w:r>
    </w:p>
    <w:p w:rsidR="00312894" w:rsidRDefault="00312894" w:rsidP="00312894">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t>（1）本部门本年度实际收到的</w:t>
      </w:r>
      <w:r>
        <w:rPr>
          <w:rFonts w:ascii="仿宋_GB2312" w:eastAsia="仿宋_GB2312" w:hAnsi="仿宋" w:cs="仿宋" w:hint="eastAsia"/>
          <w:bCs/>
          <w:color w:val="000000"/>
          <w:sz w:val="32"/>
          <w:szCs w:val="32"/>
        </w:rPr>
        <w:t>一般</w:t>
      </w:r>
      <w:r>
        <w:rPr>
          <w:rFonts w:ascii="仿宋_GB2312" w:eastAsia="仿宋_GB2312" w:hAnsi="仿宋" w:cs="仿宋" w:hint="eastAsia"/>
          <w:color w:val="000000"/>
          <w:sz w:val="32"/>
          <w:szCs w:val="32"/>
        </w:rPr>
        <w:t>公共预算财政拨款收入</w:t>
      </w:r>
      <w:r>
        <w:rPr>
          <w:rFonts w:ascii="仿宋" w:eastAsia="仿宋" w:hAnsi="仿宋"/>
          <w:sz w:val="32"/>
          <w:szCs w:val="32"/>
        </w:rPr>
        <w:t>12,408,114.42</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万元，财政部门拨款对账单</w:t>
      </w:r>
      <w:r>
        <w:rPr>
          <w:rFonts w:ascii="仿宋" w:eastAsia="仿宋" w:hAnsi="仿宋"/>
          <w:sz w:val="32"/>
          <w:szCs w:val="32"/>
        </w:rPr>
        <w:t>12,408,114.42</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万元，差额0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万元。对差额原因进行说明。</w:t>
      </w:r>
    </w:p>
    <w:p w:rsidR="00312894" w:rsidRDefault="00312894" w:rsidP="003128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（2）本部门本年度政府性基金预算财政拨款收入0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万元，财政部门拨款对账单</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万元，差额</w:t>
      </w:r>
      <w:r>
        <w:rPr>
          <w:rFonts w:ascii="宋体" w:hAnsi="宋体" w:cs="宋体" w:hint="eastAsia"/>
          <w:color w:val="000000"/>
          <w:sz w:val="32"/>
          <w:szCs w:val="32"/>
          <w:u w:val="single"/>
        </w:rPr>
        <w:t> 0</w:t>
      </w:r>
      <w:r>
        <w:rPr>
          <w:rFonts w:ascii="仿宋_GB2312" w:eastAsia="仿宋_GB2312" w:hAnsi="仿宋" w:cs="仿宋" w:hint="eastAsia"/>
          <w:color w:val="000000"/>
          <w:sz w:val="32"/>
          <w:szCs w:val="32"/>
        </w:rPr>
        <w:t>万元。对差额原因进行说明。</w:t>
      </w:r>
    </w:p>
    <w:p w:rsidR="00312894" w:rsidRDefault="00312894" w:rsidP="003128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t>（3）本部门本年度国有资本经营预算财政拨款收入0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万元，财政部门拨款对账单</w:t>
      </w:r>
      <w:r>
        <w:rPr>
          <w:rFonts w:ascii="仿宋_GB2312" w:eastAsia="仿宋_GB2312" w:cs="Times New Roman" w:hint="eastAsia"/>
          <w:color w:val="000000"/>
          <w:sz w:val="32"/>
          <w:szCs w:val="32"/>
          <w:u w:val="single"/>
        </w:rPr>
        <w:t> </w:t>
      </w:r>
      <w:r>
        <w:rPr>
          <w:rFonts w:ascii="仿宋_GB2312" w:eastAsia="仿宋_GB2312" w:cs="Times New Roman" w:hint="eastAsia"/>
          <w:color w:val="000000"/>
          <w:sz w:val="32"/>
          <w:szCs w:val="32"/>
          <w:u w:val="single"/>
        </w:rPr>
        <w:t>0</w:t>
      </w:r>
      <w:r>
        <w:rPr>
          <w:rFonts w:ascii="宋体" w:hAnsi="宋体" w:cs="宋体" w:hint="eastAsia"/>
          <w:color w:val="000000"/>
          <w:sz w:val="32"/>
          <w:szCs w:val="32"/>
          <w:u w:val="single"/>
        </w:rPr>
        <w:t> </w:t>
      </w:r>
      <w:r>
        <w:rPr>
          <w:rFonts w:ascii="仿宋_GB2312" w:eastAsia="仿宋_GB2312" w:hAnsi="仿宋" w:cs="仿宋" w:hint="eastAsia"/>
          <w:color w:val="000000"/>
          <w:sz w:val="32"/>
          <w:szCs w:val="32"/>
        </w:rPr>
        <w:t>万元，差额</w:t>
      </w:r>
      <w:r>
        <w:rPr>
          <w:rFonts w:ascii="宋体" w:hAnsi="宋体" w:cs="宋体" w:hint="eastAsia"/>
          <w:color w:val="000000"/>
          <w:sz w:val="32"/>
          <w:szCs w:val="32"/>
          <w:u w:val="single"/>
        </w:rPr>
        <w:t> 0</w:t>
      </w:r>
      <w:r>
        <w:rPr>
          <w:rFonts w:ascii="仿宋_GB2312" w:eastAsia="仿宋_GB2312" w:hAnsi="仿宋" w:cs="仿宋" w:hint="eastAsia"/>
          <w:color w:val="000000"/>
          <w:sz w:val="32"/>
          <w:szCs w:val="32"/>
        </w:rPr>
        <w:t>万元。对差额原因进行说明。</w:t>
      </w:r>
    </w:p>
    <w:p w:rsidR="00312894" w:rsidRDefault="00312894" w:rsidP="00312894">
      <w:pPr>
        <w:ind w:firstLine="709"/>
        <w:rPr>
          <w:rFonts w:ascii="仿宋_GB2312" w:eastAsia="仿宋_GB2312" w:hAnsi="仿宋" w:cs="Times New Roman"/>
          <w:b/>
          <w:color w:val="000000"/>
          <w:sz w:val="32"/>
          <w:szCs w:val="32"/>
        </w:rPr>
      </w:pPr>
      <w:r>
        <w:rPr>
          <w:rFonts w:ascii="仿宋_GB2312" w:eastAsia="仿宋_GB2312" w:hAnsi="仿宋" w:cs="仿宋" w:hint="eastAsia"/>
          <w:b/>
          <w:color w:val="000000"/>
          <w:sz w:val="32"/>
          <w:szCs w:val="32"/>
        </w:rPr>
        <w:t>2．其他需要说明的情况。</w:t>
      </w:r>
    </w:p>
    <w:p w:rsidR="00312894" w:rsidRDefault="00312894" w:rsidP="00312894">
      <w:pPr>
        <w:ind w:firstLine="709"/>
        <w:outlineLvl w:val="0"/>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（二）与上年指标核对情况。</w:t>
      </w:r>
    </w:p>
    <w:p w:rsidR="00312894" w:rsidRDefault="00312894" w:rsidP="00312894">
      <w:pPr>
        <w:ind w:firstLine="709"/>
        <w:rPr>
          <w:rFonts w:ascii="仿宋_GB2312" w:eastAsia="仿宋_GB2312" w:hAnsi="仿宋" w:cs="Times New Roman"/>
          <w:color w:val="000000"/>
          <w:sz w:val="32"/>
          <w:szCs w:val="32"/>
        </w:rPr>
      </w:pPr>
      <w:r>
        <w:rPr>
          <w:rFonts w:ascii="仿宋_GB2312" w:eastAsia="仿宋_GB2312" w:hAnsi="仿宋" w:cs="仿宋" w:hint="eastAsia"/>
          <w:sz w:val="32"/>
          <w:szCs w:val="32"/>
        </w:rPr>
        <w:t>1．全口径、</w:t>
      </w:r>
      <w:r>
        <w:rPr>
          <w:rFonts w:ascii="仿宋_GB2312" w:eastAsia="仿宋_GB2312" w:hAnsi="仿宋" w:cs="仿宋" w:hint="eastAsia"/>
          <w:bCs/>
          <w:sz w:val="32"/>
          <w:szCs w:val="32"/>
        </w:rPr>
        <w:t>一般</w:t>
      </w:r>
      <w:r>
        <w:rPr>
          <w:rFonts w:ascii="仿宋_GB2312" w:eastAsia="仿宋_GB2312" w:hAnsi="仿宋" w:cs="仿宋" w:hint="eastAsia"/>
          <w:sz w:val="32"/>
          <w:szCs w:val="32"/>
        </w:rPr>
        <w:t>公共预算财政拨款和政府性基金预算财政拨款的结转和结余资金本年年初数与上年年末数不一致的情况说明（附表</w:t>
      </w:r>
      <w:r>
        <w:rPr>
          <w:rFonts w:ascii="仿宋_GB2312" w:eastAsia="仿宋_GB2312" w:hAnsi="仿宋" w:cs="仿宋" w:hint="eastAsia"/>
          <w:bCs/>
          <w:sz w:val="32"/>
          <w:szCs w:val="32"/>
        </w:rPr>
        <w:t>1</w:t>
      </w:r>
      <w:r>
        <w:rPr>
          <w:rFonts w:ascii="仿宋_GB2312" w:eastAsia="仿宋_GB2312" w:hAnsi="仿宋" w:cs="仿宋"/>
          <w:bCs/>
          <w:sz w:val="32"/>
          <w:szCs w:val="32"/>
          <w:lang/>
        </w:rPr>
        <w:t>-1</w:t>
      </w:r>
      <w:r>
        <w:rPr>
          <w:rFonts w:ascii="仿宋_GB2312" w:eastAsia="仿宋_GB2312" w:hAnsi="仿宋" w:cs="仿宋" w:hint="eastAsia"/>
          <w:sz w:val="32"/>
          <w:szCs w:val="32"/>
        </w:rPr>
        <w:t>），包括会计</w:t>
      </w:r>
      <w:r>
        <w:rPr>
          <w:rFonts w:ascii="仿宋_GB2312" w:eastAsia="仿宋_GB2312" w:hAnsi="仿宋" w:cs="仿宋" w:hint="eastAsia"/>
          <w:bCs/>
          <w:sz w:val="32"/>
          <w:szCs w:val="32"/>
        </w:rPr>
        <w:t>差错更正、收回以前年度支出</w:t>
      </w:r>
      <w:r>
        <w:rPr>
          <w:rFonts w:ascii="仿宋_GB2312" w:eastAsia="仿宋_GB2312" w:hAnsi="仿宋" w:cs="仿宋" w:hint="eastAsia"/>
          <w:sz w:val="32"/>
          <w:szCs w:val="32"/>
        </w:rPr>
        <w:t>、归集调入、归集调出、归集上缴和缴回资金及单位内部调剂等情况（附表</w:t>
      </w:r>
      <w:r>
        <w:rPr>
          <w:rFonts w:ascii="仿宋_GB2312" w:eastAsia="仿宋_GB2312" w:hAnsi="仿宋" w:cs="仿宋" w:hint="eastAsia"/>
          <w:bCs/>
          <w:sz w:val="32"/>
          <w:szCs w:val="32"/>
        </w:rPr>
        <w:t>1</w:t>
      </w:r>
      <w:r>
        <w:rPr>
          <w:rFonts w:ascii="仿宋_GB2312" w:eastAsia="仿宋_GB2312" w:hAnsi="仿宋" w:cs="仿宋" w:hint="eastAsia"/>
          <w:sz w:val="32"/>
          <w:szCs w:val="32"/>
        </w:rPr>
        <w:t>）。按照法定会计政策变更追溯调整形成的差异，在“其他”栏目填列并在备注予以说明。</w:t>
      </w:r>
      <w:r>
        <w:rPr>
          <w:rFonts w:ascii="仿宋_GB2312" w:eastAsia="仿宋_GB2312" w:hAnsi="仿宋" w:cs="仿宋" w:hint="eastAsia"/>
          <w:color w:val="000000"/>
          <w:sz w:val="32"/>
          <w:szCs w:val="32"/>
        </w:rPr>
        <w:t>非财政拨款结余和专用结余本年年初数与上年年末数不一致的情况说明（附表</w:t>
      </w:r>
      <w:r>
        <w:rPr>
          <w:rFonts w:ascii="仿宋_GB2312" w:eastAsia="仿宋_GB2312" w:hAnsi="仿宋" w:cs="仿宋"/>
          <w:color w:val="000000"/>
          <w:sz w:val="32"/>
          <w:szCs w:val="32"/>
          <w:lang/>
        </w:rPr>
        <w:t>1-2</w:t>
      </w:r>
      <w:r>
        <w:rPr>
          <w:rFonts w:ascii="仿宋_GB2312" w:eastAsia="仿宋_GB2312" w:hAnsi="仿宋" w:cs="仿宋" w:hint="eastAsia"/>
          <w:color w:val="000000"/>
          <w:sz w:val="32"/>
          <w:szCs w:val="32"/>
        </w:rPr>
        <w:t>）。</w:t>
      </w:r>
    </w:p>
    <w:tbl>
      <w:tblPr>
        <w:tblW w:w="4997" w:type="pct"/>
        <w:tblCellMar>
          <w:left w:w="0" w:type="dxa"/>
          <w:right w:w="0" w:type="dxa"/>
        </w:tblCellMar>
        <w:tblLook w:val="0000"/>
      </w:tblPr>
      <w:tblGrid>
        <w:gridCol w:w="2230"/>
        <w:gridCol w:w="537"/>
        <w:gridCol w:w="1098"/>
        <w:gridCol w:w="742"/>
        <w:gridCol w:w="1222"/>
        <w:gridCol w:w="693"/>
        <w:gridCol w:w="2233"/>
      </w:tblGrid>
      <w:tr w:rsidR="00312894" w:rsidTr="008A5885">
        <w:trPr>
          <w:trHeight w:val="270"/>
        </w:trPr>
        <w:tc>
          <w:tcPr>
            <w:tcW w:w="1273"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指标</w:t>
            </w:r>
          </w:p>
        </w:tc>
        <w:tc>
          <w:tcPr>
            <w:tcW w:w="307" w:type="pct"/>
            <w:vMerge w:val="restar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行次</w:t>
            </w:r>
          </w:p>
        </w:tc>
        <w:tc>
          <w:tcPr>
            <w:tcW w:w="626"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本年度</w:t>
            </w:r>
          </w:p>
        </w:tc>
        <w:tc>
          <w:tcPr>
            <w:tcW w:w="424"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上年度</w:t>
            </w:r>
          </w:p>
        </w:tc>
        <w:tc>
          <w:tcPr>
            <w:tcW w:w="697"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比上年增减</w:t>
            </w:r>
          </w:p>
        </w:tc>
        <w:tc>
          <w:tcPr>
            <w:tcW w:w="395"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增减％</w:t>
            </w:r>
          </w:p>
        </w:tc>
        <w:tc>
          <w:tcPr>
            <w:tcW w:w="1274"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原因</w:t>
            </w:r>
          </w:p>
        </w:tc>
      </w:tr>
      <w:tr w:rsidR="00312894" w:rsidTr="008A5885">
        <w:trPr>
          <w:trHeight w:val="270"/>
        </w:trPr>
        <w:tc>
          <w:tcPr>
            <w:tcW w:w="1273"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栏次</w:t>
            </w:r>
          </w:p>
        </w:tc>
        <w:tc>
          <w:tcPr>
            <w:tcW w:w="307" w:type="pct"/>
            <w:vMerge/>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rPr>
                <w:rFonts w:ascii="宋体" w:eastAsia="宋体" w:hAnsi="宋体" w:cs="宋体" w:hint="eastAsia"/>
                <w:b/>
                <w:color w:val="000000"/>
              </w:rPr>
            </w:pPr>
          </w:p>
        </w:tc>
        <w:tc>
          <w:tcPr>
            <w:tcW w:w="626"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1</w:t>
            </w:r>
          </w:p>
        </w:tc>
        <w:tc>
          <w:tcPr>
            <w:tcW w:w="424"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2</w:t>
            </w:r>
          </w:p>
        </w:tc>
        <w:tc>
          <w:tcPr>
            <w:tcW w:w="697"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3</w:t>
            </w:r>
          </w:p>
        </w:tc>
        <w:tc>
          <w:tcPr>
            <w:tcW w:w="395"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4</w:t>
            </w:r>
          </w:p>
        </w:tc>
        <w:tc>
          <w:tcPr>
            <w:tcW w:w="1274"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b/>
                <w:color w:val="000000"/>
              </w:rPr>
            </w:pPr>
            <w:r>
              <w:rPr>
                <w:rFonts w:ascii="宋体" w:eastAsia="宋体" w:hAnsi="宋体" w:cs="宋体" w:hint="eastAsia"/>
                <w:b/>
                <w:color w:val="000000"/>
                <w:lang/>
              </w:rPr>
              <w:t>5</w:t>
            </w:r>
          </w:p>
        </w:tc>
      </w:tr>
      <w:tr w:rsidR="00312894" w:rsidTr="008A5885">
        <w:trPr>
          <w:trHeight w:val="270"/>
        </w:trPr>
        <w:tc>
          <w:tcPr>
            <w:tcW w:w="1273" w:type="pct"/>
            <w:tcBorders>
              <w:top w:val="nil"/>
              <w:left w:val="nil"/>
              <w:bottom w:val="nil"/>
              <w:right w:val="nil"/>
            </w:tcBorders>
            <w:noWrap/>
            <w:tcMar>
              <w:top w:w="15" w:type="dxa"/>
              <w:left w:w="15" w:type="dxa"/>
              <w:right w:w="15" w:type="dxa"/>
            </w:tcMar>
            <w:vAlign w:val="center"/>
          </w:tcPr>
          <w:p w:rsidR="00312894" w:rsidRDefault="00312894" w:rsidP="008A5885">
            <w:pPr>
              <w:textAlignment w:val="center"/>
              <w:rPr>
                <w:rFonts w:ascii="宋体" w:eastAsia="宋体" w:hAnsi="宋体" w:cs="宋体" w:hint="eastAsia"/>
                <w:color w:val="000000"/>
              </w:rPr>
            </w:pPr>
            <w:r>
              <w:rPr>
                <w:rFonts w:ascii="宋体" w:eastAsia="宋体" w:hAnsi="宋体" w:cs="宋体" w:hint="eastAsia"/>
                <w:color w:val="000000"/>
                <w:lang/>
              </w:rPr>
              <w:t xml:space="preserve">      年末结转和结余</w:t>
            </w:r>
          </w:p>
        </w:tc>
        <w:tc>
          <w:tcPr>
            <w:tcW w:w="307" w:type="pct"/>
            <w:tcBorders>
              <w:top w:val="nil"/>
              <w:left w:val="nil"/>
              <w:bottom w:val="nil"/>
              <w:right w:val="nil"/>
            </w:tcBorders>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rPr>
            </w:pPr>
            <w:r>
              <w:rPr>
                <w:rFonts w:ascii="宋体" w:eastAsia="宋体" w:hAnsi="宋体" w:cs="宋体" w:hint="eastAsia"/>
                <w:color w:val="000000"/>
                <w:lang/>
              </w:rPr>
              <w:t>61</w:t>
            </w:r>
          </w:p>
        </w:tc>
        <w:tc>
          <w:tcPr>
            <w:tcW w:w="626" w:type="pct"/>
            <w:tcBorders>
              <w:top w:val="nil"/>
              <w:left w:val="nil"/>
              <w:bottom w:val="nil"/>
              <w:right w:val="nil"/>
            </w:tcBorders>
            <w:noWrap/>
            <w:tcMar>
              <w:top w:w="15" w:type="dxa"/>
              <w:left w:w="15" w:type="dxa"/>
              <w:right w:w="15" w:type="dxa"/>
            </w:tcMar>
            <w:vAlign w:val="center"/>
          </w:tcPr>
          <w:p w:rsidR="00312894" w:rsidRDefault="00312894" w:rsidP="008A5885">
            <w:pPr>
              <w:jc w:val="right"/>
              <w:textAlignment w:val="center"/>
              <w:rPr>
                <w:rFonts w:ascii="宋体" w:eastAsia="宋体" w:hAnsi="宋体" w:cs="宋体" w:hint="eastAsia"/>
                <w:color w:val="000000"/>
              </w:rPr>
            </w:pPr>
            <w:r>
              <w:rPr>
                <w:rFonts w:ascii="宋体" w:eastAsia="宋体" w:hAnsi="宋体" w:cs="宋体" w:hint="eastAsia"/>
                <w:color w:val="000000"/>
                <w:lang/>
              </w:rPr>
              <w:t>0</w:t>
            </w:r>
          </w:p>
        </w:tc>
        <w:tc>
          <w:tcPr>
            <w:tcW w:w="424" w:type="pct"/>
            <w:tcBorders>
              <w:top w:val="nil"/>
              <w:left w:val="nil"/>
              <w:bottom w:val="nil"/>
              <w:right w:val="nil"/>
            </w:tcBorders>
            <w:noWrap/>
            <w:tcMar>
              <w:top w:w="15" w:type="dxa"/>
              <w:left w:w="15" w:type="dxa"/>
              <w:right w:w="15" w:type="dxa"/>
            </w:tcMar>
            <w:vAlign w:val="center"/>
          </w:tcPr>
          <w:p w:rsidR="00312894" w:rsidRDefault="00312894" w:rsidP="008A5885">
            <w:pPr>
              <w:jc w:val="right"/>
              <w:textAlignment w:val="center"/>
              <w:rPr>
                <w:rFonts w:ascii="宋体" w:eastAsia="宋体" w:hAnsi="宋体" w:cs="宋体" w:hint="eastAsia"/>
                <w:color w:val="000000"/>
              </w:rPr>
            </w:pPr>
            <w:r>
              <w:rPr>
                <w:rFonts w:ascii="宋体" w:eastAsia="宋体" w:hAnsi="宋体" w:cs="宋体" w:hint="eastAsia"/>
                <w:color w:val="000000"/>
                <w:lang/>
              </w:rPr>
              <w:t>0.00</w:t>
            </w:r>
          </w:p>
        </w:tc>
        <w:tc>
          <w:tcPr>
            <w:tcW w:w="697" w:type="pct"/>
            <w:tcBorders>
              <w:top w:val="nil"/>
              <w:left w:val="nil"/>
              <w:bottom w:val="nil"/>
              <w:right w:val="nil"/>
            </w:tcBorders>
            <w:noWrap/>
            <w:tcMar>
              <w:top w:w="15" w:type="dxa"/>
              <w:left w:w="15" w:type="dxa"/>
              <w:right w:w="15" w:type="dxa"/>
            </w:tcMar>
            <w:vAlign w:val="center"/>
          </w:tcPr>
          <w:p w:rsidR="00312894" w:rsidRDefault="00312894" w:rsidP="008A5885">
            <w:pPr>
              <w:jc w:val="right"/>
              <w:textAlignment w:val="center"/>
              <w:rPr>
                <w:rFonts w:ascii="宋体" w:eastAsia="宋体" w:hAnsi="宋体" w:cs="宋体"/>
                <w:color w:val="000000"/>
              </w:rPr>
            </w:pPr>
            <w:r>
              <w:rPr>
                <w:rFonts w:ascii="宋体" w:eastAsia="宋体" w:hAnsi="宋体" w:cs="宋体" w:hint="eastAsia"/>
                <w:color w:val="000000"/>
                <w:lang/>
              </w:rPr>
              <w:t>0</w:t>
            </w:r>
          </w:p>
        </w:tc>
        <w:tc>
          <w:tcPr>
            <w:tcW w:w="395" w:type="pct"/>
            <w:tcBorders>
              <w:top w:val="nil"/>
              <w:left w:val="nil"/>
              <w:bottom w:val="nil"/>
              <w:right w:val="nil"/>
            </w:tcBorders>
            <w:noWrap/>
            <w:tcMar>
              <w:top w:w="15" w:type="dxa"/>
              <w:left w:w="15" w:type="dxa"/>
              <w:right w:w="15" w:type="dxa"/>
            </w:tcMar>
            <w:vAlign w:val="center"/>
          </w:tcPr>
          <w:p w:rsidR="00312894" w:rsidRDefault="00312894" w:rsidP="008A5885">
            <w:pPr>
              <w:jc w:val="right"/>
              <w:textAlignment w:val="center"/>
              <w:rPr>
                <w:rFonts w:ascii="宋体" w:eastAsia="宋体" w:hAnsi="宋体" w:cs="宋体" w:hint="eastAsia"/>
                <w:color w:val="000000"/>
              </w:rPr>
            </w:pPr>
            <w:r>
              <w:rPr>
                <w:rFonts w:ascii="宋体" w:eastAsia="宋体" w:hAnsi="宋体" w:cs="宋体" w:hint="eastAsia"/>
                <w:color w:val="000000"/>
                <w:lang/>
              </w:rPr>
              <w:t>100</w:t>
            </w:r>
          </w:p>
        </w:tc>
        <w:tc>
          <w:tcPr>
            <w:tcW w:w="1274" w:type="pct"/>
            <w:tcBorders>
              <w:top w:val="nil"/>
              <w:left w:val="nil"/>
              <w:bottom w:val="nil"/>
              <w:right w:val="nil"/>
            </w:tcBorders>
            <w:noWrap/>
            <w:tcMar>
              <w:top w:w="15" w:type="dxa"/>
              <w:left w:w="15" w:type="dxa"/>
              <w:right w:w="15" w:type="dxa"/>
            </w:tcMar>
            <w:vAlign w:val="center"/>
          </w:tcPr>
          <w:p w:rsidR="00312894" w:rsidRDefault="00312894" w:rsidP="008A5885">
            <w:pPr>
              <w:textAlignment w:val="center"/>
              <w:rPr>
                <w:rFonts w:ascii="宋体" w:eastAsia="宋体" w:hAnsi="宋体" w:cs="宋体" w:hint="eastAsia"/>
                <w:color w:val="000000"/>
              </w:rPr>
            </w:pPr>
          </w:p>
        </w:tc>
      </w:tr>
    </w:tbl>
    <w:p w:rsidR="00312894" w:rsidRDefault="00312894" w:rsidP="00312894">
      <w:pPr>
        <w:ind w:firstLine="709"/>
        <w:rPr>
          <w:rFonts w:ascii="仿宋_GB2312" w:eastAsia="仿宋_GB2312" w:hAnsi="仿宋" w:cs="Times New Roman"/>
          <w:color w:val="000000"/>
          <w:sz w:val="32"/>
          <w:szCs w:val="32"/>
        </w:rPr>
      </w:pPr>
    </w:p>
    <w:p w:rsidR="00312894" w:rsidRDefault="00312894" w:rsidP="00312894">
      <w:pPr>
        <w:ind w:firstLine="709"/>
        <w:rPr>
          <w:rFonts w:ascii="仿宋_GB2312" w:eastAsia="仿宋_GB2312" w:hAnsi="仿宋" w:cs="仿宋"/>
          <w:color w:val="000000"/>
          <w:sz w:val="32"/>
          <w:szCs w:val="32"/>
        </w:rPr>
      </w:pPr>
      <w:r>
        <w:rPr>
          <w:rFonts w:ascii="仿宋_GB2312" w:eastAsia="仿宋_GB2312" w:hAnsi="仿宋" w:cs="仿宋" w:hint="eastAsia"/>
          <w:color w:val="000000"/>
          <w:sz w:val="32"/>
          <w:szCs w:val="32"/>
        </w:rPr>
        <w:lastRenderedPageBreak/>
        <w:t>2．主要指标上下年变动幅度超过20%，其中机构人员指标上下年有变动的，应具体核实并说明原因（附表</w:t>
      </w:r>
      <w:r>
        <w:rPr>
          <w:rFonts w:ascii="仿宋_GB2312" w:eastAsia="仿宋_GB2312" w:hAnsi="仿宋" w:cs="仿宋" w:hint="eastAsia"/>
          <w:bCs/>
          <w:color w:val="000000"/>
          <w:sz w:val="32"/>
          <w:szCs w:val="32"/>
        </w:rPr>
        <w:t>2</w:t>
      </w:r>
      <w:r>
        <w:rPr>
          <w:rFonts w:ascii="仿宋_GB2312" w:eastAsia="仿宋_GB2312" w:hAnsi="仿宋" w:cs="仿宋" w:hint="eastAsia"/>
          <w:color w:val="000000"/>
          <w:sz w:val="32"/>
          <w:szCs w:val="32"/>
        </w:rPr>
        <w:t>）。</w:t>
      </w:r>
    </w:p>
    <w:tbl>
      <w:tblPr>
        <w:tblW w:w="10686" w:type="dxa"/>
        <w:tblInd w:w="95" w:type="dxa"/>
        <w:tblLook w:val="04A0"/>
      </w:tblPr>
      <w:tblGrid>
        <w:gridCol w:w="11229"/>
      </w:tblGrid>
      <w:tr w:rsidR="00312894" w:rsidRPr="00FD15E7" w:rsidTr="00312894">
        <w:trPr>
          <w:trHeight w:val="270"/>
        </w:trPr>
        <w:tc>
          <w:tcPr>
            <w:tcW w:w="10686" w:type="dxa"/>
            <w:tcBorders>
              <w:top w:val="nil"/>
              <w:left w:val="nil"/>
              <w:bottom w:val="nil"/>
              <w:right w:val="nil"/>
            </w:tcBorders>
            <w:shd w:val="clear" w:color="auto" w:fill="auto"/>
            <w:noWrap/>
            <w:vAlign w:val="center"/>
            <w:hideMark/>
          </w:tcPr>
          <w:tbl>
            <w:tblPr>
              <w:tblW w:w="11003" w:type="dxa"/>
              <w:tblLook w:val="04A0"/>
            </w:tblPr>
            <w:tblGrid>
              <w:gridCol w:w="2452"/>
              <w:gridCol w:w="831"/>
              <w:gridCol w:w="1340"/>
              <w:gridCol w:w="1360"/>
              <w:gridCol w:w="1420"/>
              <w:gridCol w:w="820"/>
              <w:gridCol w:w="2780"/>
            </w:tblGrid>
            <w:tr w:rsidR="00312894" w:rsidRPr="00312894" w:rsidTr="00312894">
              <w:trPr>
                <w:trHeight w:val="270"/>
              </w:trPr>
              <w:tc>
                <w:tcPr>
                  <w:tcW w:w="2452" w:type="dxa"/>
                  <w:tcBorders>
                    <w:top w:val="single" w:sz="4" w:space="0" w:color="auto"/>
                    <w:left w:val="single" w:sz="4" w:space="0" w:color="auto"/>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指标</w:t>
                  </w:r>
                </w:p>
              </w:tc>
              <w:tc>
                <w:tcPr>
                  <w:tcW w:w="831" w:type="dxa"/>
                  <w:vMerge w:val="restart"/>
                  <w:tcBorders>
                    <w:top w:val="single" w:sz="4" w:space="0" w:color="auto"/>
                    <w:left w:val="single" w:sz="4" w:space="0" w:color="auto"/>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行次</w:t>
                  </w:r>
                </w:p>
              </w:tc>
              <w:tc>
                <w:tcPr>
                  <w:tcW w:w="1340" w:type="dxa"/>
                  <w:tcBorders>
                    <w:top w:val="single" w:sz="4" w:space="0" w:color="auto"/>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本年度</w:t>
                  </w:r>
                </w:p>
              </w:tc>
              <w:tc>
                <w:tcPr>
                  <w:tcW w:w="1360" w:type="dxa"/>
                  <w:tcBorders>
                    <w:top w:val="single" w:sz="4" w:space="0" w:color="auto"/>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上年度</w:t>
                  </w:r>
                </w:p>
              </w:tc>
              <w:tc>
                <w:tcPr>
                  <w:tcW w:w="1420" w:type="dxa"/>
                  <w:tcBorders>
                    <w:top w:val="single" w:sz="4" w:space="0" w:color="auto"/>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比上年增减</w:t>
                  </w:r>
                </w:p>
              </w:tc>
              <w:tc>
                <w:tcPr>
                  <w:tcW w:w="820" w:type="dxa"/>
                  <w:tcBorders>
                    <w:top w:val="single" w:sz="4" w:space="0" w:color="auto"/>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增减％</w:t>
                  </w:r>
                </w:p>
              </w:tc>
              <w:tc>
                <w:tcPr>
                  <w:tcW w:w="2780" w:type="dxa"/>
                  <w:tcBorders>
                    <w:top w:val="single" w:sz="4" w:space="0" w:color="auto"/>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原因</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栏次</w:t>
                  </w:r>
                </w:p>
              </w:tc>
              <w:tc>
                <w:tcPr>
                  <w:tcW w:w="831" w:type="dxa"/>
                  <w:vMerge/>
                  <w:tcBorders>
                    <w:top w:val="single" w:sz="4" w:space="0" w:color="auto"/>
                    <w:left w:val="single" w:sz="4" w:space="0" w:color="auto"/>
                    <w:bottom w:val="single" w:sz="4" w:space="0" w:color="auto"/>
                    <w:right w:val="single" w:sz="4" w:space="0" w:color="auto"/>
                  </w:tcBorders>
                  <w:vAlign w:val="center"/>
                  <w:hideMark/>
                </w:tcPr>
                <w:p w:rsidR="00312894" w:rsidRPr="00312894" w:rsidRDefault="00312894" w:rsidP="00312894">
                  <w:pPr>
                    <w:adjustRightInd/>
                    <w:snapToGrid/>
                    <w:spacing w:after="0"/>
                    <w:rPr>
                      <w:rFonts w:ascii="宋体" w:eastAsia="宋体" w:hAnsi="宋体" w:cs="宋体"/>
                      <w:b/>
                      <w:bCs/>
                      <w:sz w:val="16"/>
                      <w:szCs w:val="16"/>
                    </w:rPr>
                  </w:pPr>
                </w:p>
              </w:tc>
              <w:tc>
                <w:tcPr>
                  <w:tcW w:w="1340" w:type="dxa"/>
                  <w:tcBorders>
                    <w:top w:val="nil"/>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1</w:t>
                  </w:r>
                </w:p>
              </w:tc>
              <w:tc>
                <w:tcPr>
                  <w:tcW w:w="1360" w:type="dxa"/>
                  <w:tcBorders>
                    <w:top w:val="nil"/>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2</w:t>
                  </w:r>
                </w:p>
              </w:tc>
              <w:tc>
                <w:tcPr>
                  <w:tcW w:w="1420" w:type="dxa"/>
                  <w:tcBorders>
                    <w:top w:val="nil"/>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3</w:t>
                  </w:r>
                </w:p>
              </w:tc>
              <w:tc>
                <w:tcPr>
                  <w:tcW w:w="820" w:type="dxa"/>
                  <w:tcBorders>
                    <w:top w:val="nil"/>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4</w:t>
                  </w:r>
                </w:p>
              </w:tc>
              <w:tc>
                <w:tcPr>
                  <w:tcW w:w="2780" w:type="dxa"/>
                  <w:tcBorders>
                    <w:top w:val="nil"/>
                    <w:left w:val="nil"/>
                    <w:bottom w:val="single" w:sz="4" w:space="0" w:color="auto"/>
                    <w:right w:val="single" w:sz="4" w:space="0" w:color="auto"/>
                  </w:tcBorders>
                  <w:shd w:val="clear" w:color="EBEFF3" w:fill="EBEFF3"/>
                  <w:noWrap/>
                  <w:vAlign w:val="center"/>
                  <w:hideMark/>
                </w:tcPr>
                <w:p w:rsidR="00312894" w:rsidRPr="00312894" w:rsidRDefault="00312894" w:rsidP="00312894">
                  <w:pPr>
                    <w:adjustRightInd/>
                    <w:snapToGrid/>
                    <w:spacing w:after="0"/>
                    <w:jc w:val="center"/>
                    <w:rPr>
                      <w:rFonts w:ascii="宋体" w:eastAsia="宋体" w:hAnsi="宋体" w:cs="宋体"/>
                      <w:b/>
                      <w:bCs/>
                      <w:sz w:val="16"/>
                      <w:szCs w:val="16"/>
                    </w:rPr>
                  </w:pPr>
                  <w:r w:rsidRPr="00312894">
                    <w:rPr>
                      <w:rFonts w:ascii="宋体" w:eastAsia="宋体" w:hAnsi="宋体" w:cs="宋体" w:hint="eastAsia"/>
                      <w:b/>
                      <w:bCs/>
                      <w:sz w:val="16"/>
                      <w:szCs w:val="16"/>
                    </w:rPr>
                    <w:t>5</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一、年度收支情况（单位：元）</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81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1.本年收入</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9,889,960.85</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45,486,123.97</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-35,596,163.12</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-78.26</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8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其中：一般公共预算财政拨款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9,889,960.85</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45,486,123.97</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-35,596,163.12</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-78.26</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政府性基金预算财政拨款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国有资本经营预算财政拨款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*事业收入</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事业单位经营收入</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*其他收入</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90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2.本年支出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12,408,114.42</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45,486,123.97</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-33,078,009.55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-72.72</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其中：基本支出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1,661,916.56</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1,559,524.12</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102,392.44</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6.57</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（1）人员经费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1,559,063.81</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1,448,157.72</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110,906.09</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7.66</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（2）日常公用经费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102,852.75</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111,366.40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-8,513.65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-7.64</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人员调整调动</w:t>
                  </w:r>
                </w:p>
              </w:tc>
            </w:tr>
            <w:tr w:rsidR="00312894" w:rsidRPr="00312894" w:rsidTr="00312894">
              <w:trPr>
                <w:trHeight w:val="102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项目支出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10,746,197.86</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43,926,599.85</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-33,180,401.99</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-75.54</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其中：基本建设类项目</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2,692,994.45</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-2,692,994.45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事业单位经营支出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3.年末结转和结余</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其中：一般公共预算财政拨款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政府性基金预算财政拨款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国有资本经营预算财政拨款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二、年末资产负债信息（单位：元）</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42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1.货币资金</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2,443,384.44</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5,916,859.16</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-3,473,474.72</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-58.7</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债务利息183万元、未冲账扣借款46万元于4月上缴国库</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2.财政应返还额度</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3.房屋</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3,700,000.00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3,700,000.00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4.车辆</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830,000.00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830,000.00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5.在建工程</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6.借款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7.应缴财政款</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8,392.97</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8,392.97</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2023年度利息未能及时上缴</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lastRenderedPageBreak/>
                    <w:t xml:space="preserve">    8.应付职工薪酬</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三、年末机构人员情况（单位：个、人）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1.独立编制机构数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2.独立核算机构数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3.年末实有人数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人员增加一人</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在职人员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人员增加一人</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其中：行政人员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-1.00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调整参照公务员一人</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参照公务员法管理事业人员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调整参照公务员两人</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非参公事业人员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离休人员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退休人员</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4.年末其他人员数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5.年末学生人数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四、补充资料（单位：元）</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1.固定资产情况</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房屋面积（平方米）</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2,757.00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2,757.00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车辆数量（辆）</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2.00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2.“三公”经费支出</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4,700.15</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-4,700.15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公务车辆统一由后勤保管</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其中：因公出国（境）费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公务用车购置及运行维护费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4,700.15</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-4,700.15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公务车辆统一由后勤保管</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其中：公务用车购置费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公务用车运行维护费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4,700.15</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-4,700.15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公务车辆统一由后勤保管</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公务接待费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3.培训费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4.会议费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52</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5.机关运行经费</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53</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102,852.75</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111,366.40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-8,513.65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-7.64</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人员调整调动</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6.年初预算数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54</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84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本年收入合计</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55</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4,374,748.77</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32,679,984.99</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-28,305,236.22</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-86.61</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855"/>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本年支出合计</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56</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6,892,902.34</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32,679,984.99</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-25,787,082.65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-78.91</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年末结转和结余</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57</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7.全年预算数</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58</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一</w:t>
                  </w:r>
                </w:p>
              </w:tc>
            </w:tr>
            <w:tr w:rsidR="00312894" w:rsidRPr="00312894" w:rsidTr="00312894">
              <w:trPr>
                <w:trHeight w:val="885"/>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本年收入合计</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59</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9,889,960.85</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45,486,123.97</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-35,596,163.12</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-78.26</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885"/>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本年支出合计</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60</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12,408,114.42</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45,486,123.97</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-33,078,009.55</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-72.72</w:t>
                  </w:r>
                </w:p>
              </w:tc>
              <w:tc>
                <w:tcPr>
                  <w:tcW w:w="2780" w:type="dxa"/>
                  <w:tcBorders>
                    <w:top w:val="nil"/>
                    <w:left w:val="nil"/>
                    <w:bottom w:val="single" w:sz="4" w:space="0" w:color="auto"/>
                    <w:right w:val="single" w:sz="4" w:space="0" w:color="auto"/>
                  </w:tcBorders>
                  <w:shd w:val="clear" w:color="auto" w:fill="auto"/>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吉塘镇污水处理厂管网配套建设项目、2021年农村环境综合整治项目、农村污水治理专项规划项目、县域环境质量检测项目已竣工验收</w:t>
                  </w:r>
                </w:p>
              </w:tc>
            </w:tr>
            <w:tr w:rsidR="00312894" w:rsidRPr="00312894" w:rsidTr="00312894">
              <w:trPr>
                <w:trHeight w:val="270"/>
              </w:trPr>
              <w:tc>
                <w:tcPr>
                  <w:tcW w:w="2452" w:type="dxa"/>
                  <w:tcBorders>
                    <w:top w:val="nil"/>
                    <w:left w:val="single" w:sz="4" w:space="0" w:color="auto"/>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年末结转和结余</w:t>
                  </w:r>
                </w:p>
              </w:tc>
              <w:tc>
                <w:tcPr>
                  <w:tcW w:w="831"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61</w:t>
                  </w:r>
                </w:p>
              </w:tc>
              <w:tc>
                <w:tcPr>
                  <w:tcW w:w="134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36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14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0.00</w:t>
                  </w:r>
                </w:p>
              </w:tc>
              <w:tc>
                <w:tcPr>
                  <w:tcW w:w="82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0</w:t>
                  </w:r>
                </w:p>
              </w:tc>
              <w:tc>
                <w:tcPr>
                  <w:tcW w:w="2780" w:type="dxa"/>
                  <w:tcBorders>
                    <w:top w:val="nil"/>
                    <w:left w:val="nil"/>
                    <w:bottom w:val="single" w:sz="4" w:space="0" w:color="auto"/>
                    <w:right w:val="single" w:sz="4" w:space="0" w:color="auto"/>
                  </w:tcBorders>
                  <w:shd w:val="clear" w:color="auto" w:fill="auto"/>
                  <w:noWrap/>
                  <w:vAlign w:val="center"/>
                  <w:hideMark/>
                </w:tcPr>
                <w:p w:rsidR="00312894" w:rsidRPr="00312894" w:rsidRDefault="00312894" w:rsidP="00312894">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w:t>
                  </w:r>
                </w:p>
              </w:tc>
            </w:tr>
          </w:tbl>
          <w:p w:rsidR="00312894" w:rsidRPr="00FD15E7" w:rsidRDefault="00312894" w:rsidP="008A5885">
            <w:pPr>
              <w:rPr>
                <w:rFonts w:ascii="宋体" w:hAnsi="宋体" w:cs="宋体"/>
                <w:color w:val="FF0000"/>
              </w:rPr>
            </w:pPr>
          </w:p>
        </w:tc>
      </w:tr>
    </w:tbl>
    <w:p w:rsidR="00312894" w:rsidRDefault="00312894" w:rsidP="00312894">
      <w:pPr>
        <w:rPr>
          <w:rFonts w:ascii="仿宋_GB2312" w:eastAsia="仿宋_GB2312" w:hAnsi="仿宋" w:cs="仿宋"/>
          <w:color w:val="000000"/>
          <w:sz w:val="32"/>
          <w:szCs w:val="32"/>
        </w:rPr>
      </w:pPr>
    </w:p>
    <w:p w:rsidR="00312894" w:rsidRDefault="00312894" w:rsidP="00312894">
      <w:pPr>
        <w:ind w:firstLine="709"/>
        <w:rPr>
          <w:rFonts w:ascii="仿宋_GB2312" w:eastAsia="仿宋_GB2312" w:hAnsi="仿宋" w:cs="仿宋" w:hint="eastAsia"/>
          <w:color w:val="000000"/>
          <w:sz w:val="32"/>
          <w:szCs w:val="32"/>
        </w:rPr>
      </w:pPr>
      <w:r>
        <w:rPr>
          <w:rFonts w:ascii="仿宋_GB2312" w:eastAsia="仿宋_GB2312" w:hAnsi="仿宋" w:cs="仿宋" w:hint="eastAsia"/>
          <w:color w:val="000000"/>
          <w:sz w:val="32"/>
          <w:szCs w:val="32"/>
        </w:rPr>
        <w:lastRenderedPageBreak/>
        <w:t>3. 资产</w:t>
      </w:r>
      <w:r>
        <w:rPr>
          <w:rFonts w:ascii="仿宋_GB2312" w:eastAsia="仿宋_GB2312" w:hAnsi="仿宋" w:cs="仿宋"/>
          <w:color w:val="000000"/>
          <w:sz w:val="32"/>
          <w:szCs w:val="32"/>
        </w:rPr>
        <w:t>信息中房屋、</w:t>
      </w:r>
      <w:r>
        <w:rPr>
          <w:rFonts w:ascii="仿宋_GB2312" w:eastAsia="仿宋_GB2312" w:hAnsi="仿宋" w:cs="仿宋" w:hint="eastAsia"/>
          <w:color w:val="000000"/>
          <w:sz w:val="32"/>
          <w:szCs w:val="32"/>
        </w:rPr>
        <w:t>车辆</w:t>
      </w:r>
      <w:r>
        <w:rPr>
          <w:rFonts w:ascii="仿宋_GB2312" w:eastAsia="仿宋_GB2312" w:hAnsi="仿宋" w:cs="仿宋"/>
          <w:color w:val="000000"/>
          <w:sz w:val="32"/>
          <w:szCs w:val="32"/>
        </w:rPr>
        <w:t>本年年初数与上年年</w:t>
      </w:r>
      <w:r>
        <w:rPr>
          <w:rFonts w:ascii="仿宋_GB2312" w:eastAsia="仿宋_GB2312" w:hAnsi="仿宋" w:cs="仿宋" w:hint="eastAsia"/>
          <w:color w:val="000000"/>
          <w:sz w:val="32"/>
          <w:szCs w:val="32"/>
        </w:rPr>
        <w:t>末</w:t>
      </w:r>
      <w:r>
        <w:rPr>
          <w:rFonts w:ascii="仿宋_GB2312" w:eastAsia="仿宋_GB2312" w:hAnsi="仿宋" w:cs="仿宋"/>
          <w:color w:val="000000"/>
          <w:sz w:val="32"/>
          <w:szCs w:val="32"/>
        </w:rPr>
        <w:t>数不一致的情况说明（基础数据核对任务</w:t>
      </w:r>
      <w:r>
        <w:rPr>
          <w:rFonts w:ascii="仿宋_GB2312" w:eastAsia="仿宋_GB2312" w:hAnsi="仿宋" w:cs="仿宋" w:hint="eastAsia"/>
          <w:color w:val="000000"/>
          <w:sz w:val="32"/>
          <w:szCs w:val="32"/>
        </w:rPr>
        <w:t>-结余</w:t>
      </w:r>
      <w:r>
        <w:rPr>
          <w:rFonts w:ascii="仿宋_GB2312" w:eastAsia="仿宋_GB2312" w:hAnsi="仿宋" w:cs="仿宋"/>
          <w:color w:val="000000"/>
          <w:sz w:val="32"/>
          <w:szCs w:val="32"/>
        </w:rPr>
        <w:t>核对</w:t>
      </w:r>
      <w:r>
        <w:rPr>
          <w:rFonts w:ascii="仿宋_GB2312" w:eastAsia="仿宋_GB2312" w:hAnsi="仿宋" w:cs="仿宋" w:hint="eastAsia"/>
          <w:color w:val="000000"/>
          <w:sz w:val="32"/>
          <w:szCs w:val="32"/>
        </w:rPr>
        <w:t>05表</w:t>
      </w:r>
      <w:r>
        <w:rPr>
          <w:rFonts w:ascii="仿宋_GB2312" w:eastAsia="仿宋_GB2312" w:hAnsi="仿宋" w:cs="仿宋"/>
          <w:color w:val="000000"/>
          <w:sz w:val="32"/>
          <w:szCs w:val="32"/>
        </w:rPr>
        <w:t>）</w:t>
      </w:r>
      <w:r>
        <w:rPr>
          <w:rFonts w:ascii="仿宋_GB2312" w:eastAsia="仿宋_GB2312" w:hAnsi="仿宋" w:cs="仿宋" w:hint="eastAsia"/>
          <w:color w:val="000000"/>
          <w:sz w:val="32"/>
          <w:szCs w:val="32"/>
        </w:rPr>
        <w:t>。</w:t>
      </w:r>
    </w:p>
    <w:p w:rsidR="00312894" w:rsidRDefault="00312894" w:rsidP="00312894">
      <w:pPr>
        <w:ind w:firstLine="709"/>
        <w:outlineLvl w:val="0"/>
        <w:rPr>
          <w:rFonts w:ascii="黑体" w:eastAsia="黑体" w:hAnsi="黑体" w:cs="Times New Roman"/>
          <w:color w:val="000000"/>
          <w:sz w:val="32"/>
          <w:szCs w:val="32"/>
        </w:rPr>
      </w:pPr>
      <w:r>
        <w:rPr>
          <w:rFonts w:ascii="宋体" w:hAnsi="宋体" w:cs="宋体" w:hint="eastAsia"/>
          <w:color w:val="000000"/>
          <w:sz w:val="32"/>
          <w:szCs w:val="32"/>
        </w:rPr>
        <w:t> </w:t>
      </w:r>
      <w:r>
        <w:rPr>
          <w:rFonts w:ascii="黑体" w:eastAsia="黑体" w:hAnsi="黑体" w:cs="黑体" w:hint="eastAsia"/>
          <w:color w:val="000000"/>
          <w:sz w:val="32"/>
          <w:szCs w:val="32"/>
        </w:rPr>
        <w:t>三、报表审核情况</w:t>
      </w:r>
    </w:p>
    <w:p w:rsidR="00312894" w:rsidRDefault="00312894" w:rsidP="00312894">
      <w:pPr>
        <w:ind w:firstLine="709"/>
        <w:rPr>
          <w:rFonts w:ascii="楷体_GB2312" w:eastAsia="楷体_GB2312" w:hAnsi="仿宋" w:cs="仿宋"/>
          <w:b/>
          <w:color w:val="000000"/>
          <w:sz w:val="32"/>
          <w:szCs w:val="32"/>
        </w:rPr>
      </w:pPr>
      <w:r>
        <w:rPr>
          <w:rFonts w:ascii="楷体_GB2312" w:eastAsia="楷体_GB2312" w:hAnsi="仿宋" w:cs="仿宋" w:hint="eastAsia"/>
          <w:b/>
          <w:color w:val="000000"/>
          <w:sz w:val="32"/>
          <w:szCs w:val="32"/>
        </w:rPr>
        <w:t>审核情况。</w:t>
      </w:r>
    </w:p>
    <w:tbl>
      <w:tblPr>
        <w:tblW w:w="8528" w:type="dxa"/>
        <w:tblInd w:w="2" w:type="dxa"/>
        <w:tblLayout w:type="fixed"/>
        <w:tblCellMar>
          <w:left w:w="0" w:type="dxa"/>
          <w:right w:w="0" w:type="dxa"/>
        </w:tblCellMar>
        <w:tblLook w:val="0000"/>
      </w:tblPr>
      <w:tblGrid>
        <w:gridCol w:w="1827"/>
        <w:gridCol w:w="1259"/>
        <w:gridCol w:w="1787"/>
        <w:gridCol w:w="3655"/>
      </w:tblGrid>
      <w:tr w:rsidR="00312894" w:rsidTr="008A5885">
        <w:trPr>
          <w:trHeight w:val="60"/>
        </w:trPr>
        <w:tc>
          <w:tcPr>
            <w:tcW w:w="182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审核项目</w:t>
            </w:r>
          </w:p>
        </w:tc>
        <w:tc>
          <w:tcPr>
            <w:tcW w:w="125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数量</w:t>
            </w:r>
          </w:p>
        </w:tc>
        <w:tc>
          <w:tcPr>
            <w:tcW w:w="178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提示内容</w:t>
            </w:r>
          </w:p>
        </w:tc>
        <w:tc>
          <w:tcPr>
            <w:tcW w:w="365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原因说明</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一、审核公式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1.表间公式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A0-XXX</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A0-XXX</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2.表内公式</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AXXX</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AXXX</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XX条</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二、审核模板</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1</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XX个单位</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2</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XX个单位</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r w:rsidR="00312894" w:rsidTr="008A5885">
        <w:trPr>
          <w:trHeight w:val="60"/>
        </w:trPr>
        <w:tc>
          <w:tcPr>
            <w:tcW w:w="1827"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259"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jc w:val="center"/>
              <w:rPr>
                <w:rFonts w:ascii="仿宋_GB2312" w:eastAsia="仿宋_GB2312" w:hAnsi="Times New Roman" w:cs="Times New Roman"/>
                <w:sz w:val="24"/>
                <w:szCs w:val="24"/>
              </w:rPr>
            </w:pPr>
            <w:r>
              <w:rPr>
                <w:rFonts w:ascii="仿宋_GB2312" w:eastAsia="仿宋_GB2312" w:hAnsi="仿宋" w:cs="仿宋" w:hint="eastAsia"/>
                <w:color w:val="000000"/>
                <w:sz w:val="24"/>
                <w:szCs w:val="24"/>
              </w:rPr>
              <w:t>…</w:t>
            </w:r>
          </w:p>
        </w:tc>
        <w:tc>
          <w:tcPr>
            <w:tcW w:w="1787"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c>
          <w:tcPr>
            <w:tcW w:w="36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312894" w:rsidRDefault="00312894" w:rsidP="008A5885">
            <w:pPr>
              <w:spacing w:line="60" w:lineRule="atLeast"/>
              <w:rPr>
                <w:rFonts w:ascii="仿宋_GB2312" w:eastAsia="仿宋_GB2312" w:hAnsi="Times New Roman" w:cs="Times New Roman"/>
                <w:sz w:val="24"/>
                <w:szCs w:val="24"/>
              </w:rPr>
            </w:pPr>
            <w:r>
              <w:rPr>
                <w:rFonts w:ascii="仿宋_GB2312" w:eastAsia="仿宋_GB2312" w:hAnsi="仿宋" w:cs="仿宋" w:hint="eastAsia"/>
                <w:color w:val="000000"/>
                <w:sz w:val="24"/>
                <w:szCs w:val="24"/>
              </w:rPr>
              <w:t xml:space="preserve">　</w:t>
            </w:r>
          </w:p>
        </w:tc>
      </w:tr>
    </w:tbl>
    <w:p w:rsidR="00312894" w:rsidRDefault="00312894" w:rsidP="00312894">
      <w:pPr>
        <w:ind w:firstLine="709"/>
        <w:rPr>
          <w:rFonts w:ascii="黑体" w:eastAsia="黑体" w:hAnsi="黑体" w:cs="Times New Roman"/>
          <w:color w:val="000000"/>
          <w:sz w:val="32"/>
          <w:szCs w:val="32"/>
        </w:rPr>
      </w:pPr>
      <w:r>
        <w:rPr>
          <w:rFonts w:ascii="黑体" w:eastAsia="黑体" w:hAnsi="黑体" w:cs="黑体" w:hint="eastAsia"/>
          <w:color w:val="000000"/>
          <w:sz w:val="32"/>
          <w:szCs w:val="32"/>
        </w:rPr>
        <w:t>四、决算数据其他需要说明的情况</w:t>
      </w:r>
    </w:p>
    <w:p w:rsidR="00312894" w:rsidRDefault="00312894" w:rsidP="00312894">
      <w:pPr>
        <w:ind w:firstLine="709"/>
        <w:rPr>
          <w:rFonts w:ascii="仿宋_GB2312" w:eastAsia="仿宋_GB2312" w:hAnsi="仿宋" w:cs="仿宋"/>
          <w:sz w:val="32"/>
          <w:szCs w:val="32"/>
        </w:rPr>
      </w:pPr>
      <w:r>
        <w:rPr>
          <w:rFonts w:ascii="仿宋_GB2312" w:eastAsia="仿宋_GB2312" w:hAnsi="仿宋" w:cs="仿宋" w:hint="eastAsia"/>
          <w:color w:val="000000"/>
          <w:sz w:val="32"/>
          <w:szCs w:val="32"/>
        </w:rPr>
        <w:t>1．“收入决算表”中</w:t>
      </w:r>
      <w:r>
        <w:rPr>
          <w:rFonts w:ascii="仿宋_GB2312" w:eastAsia="仿宋_GB2312" w:hAnsi="仿宋" w:cs="仿宋" w:hint="eastAsia"/>
          <w:color w:val="000000"/>
          <w:spacing w:val="6"/>
          <w:sz w:val="32"/>
          <w:szCs w:val="32"/>
        </w:rPr>
        <w:t>其他收入的具体构成情况，</w:t>
      </w:r>
      <w:r>
        <w:rPr>
          <w:rFonts w:ascii="仿宋_GB2312" w:eastAsia="仿宋_GB2312" w:hAnsi="仿宋" w:cs="仿宋" w:hint="eastAsia"/>
          <w:color w:val="000000"/>
          <w:sz w:val="32"/>
          <w:szCs w:val="32"/>
        </w:rPr>
        <w:t>说明单位从同级</w:t>
      </w:r>
      <w:r>
        <w:rPr>
          <w:rFonts w:ascii="仿宋_GB2312" w:eastAsia="仿宋_GB2312" w:hAnsi="仿宋" w:cs="仿宋" w:hint="eastAsia"/>
          <w:sz w:val="32"/>
          <w:szCs w:val="32"/>
        </w:rPr>
        <w:t>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ascii="仿宋_GB2312" w:eastAsia="仿宋_GB2312" w:hAnsi="仿宋" w:cs="仿宋" w:hint="eastAsia"/>
          <w:bCs/>
          <w:sz w:val="32"/>
          <w:szCs w:val="32"/>
        </w:rPr>
        <w:t>3</w:t>
      </w:r>
      <w:r>
        <w:rPr>
          <w:rFonts w:ascii="仿宋_GB2312" w:eastAsia="仿宋_GB2312" w:hAnsi="仿宋" w:cs="仿宋" w:hint="eastAsia"/>
          <w:sz w:val="32"/>
          <w:szCs w:val="32"/>
        </w:rPr>
        <w:t>）。</w:t>
      </w:r>
    </w:p>
    <w:p w:rsidR="00312894" w:rsidRDefault="00312894" w:rsidP="00312894">
      <w:pPr>
        <w:ind w:firstLine="709"/>
        <w:rPr>
          <w:rFonts w:ascii="仿宋_GB2312" w:eastAsia="仿宋_GB2312" w:hAnsi="仿宋" w:cs="仿宋"/>
          <w:sz w:val="32"/>
          <w:szCs w:val="32"/>
        </w:rPr>
      </w:pPr>
      <w:r>
        <w:rPr>
          <w:rFonts w:ascii="仿宋_GB2312" w:eastAsia="仿宋_GB2312" w:hAnsi="仿宋" w:cs="仿宋" w:hint="eastAsia"/>
          <w:sz w:val="32"/>
          <w:szCs w:val="32"/>
        </w:rPr>
        <w:t>2.年末结转结余扣除经营亏损后如为负数，按资金性质分别</w:t>
      </w:r>
      <w:r>
        <w:rPr>
          <w:rFonts w:ascii="仿宋_GB2312" w:eastAsia="仿宋_GB2312" w:hAnsi="仿宋" w:cs="仿宋" w:hint="eastAsia"/>
          <w:color w:val="000000"/>
          <w:sz w:val="32"/>
          <w:szCs w:val="32"/>
        </w:rPr>
        <w:t>说明情况。</w:t>
      </w:r>
    </w:p>
    <w:p w:rsidR="00312894" w:rsidRDefault="00312894" w:rsidP="00312894">
      <w:pPr>
        <w:ind w:firstLine="709"/>
        <w:rPr>
          <w:rFonts w:ascii="仿宋_GB2312" w:eastAsia="仿宋_GB2312" w:hAnsi="仿宋" w:cs="Times New Roman"/>
          <w:color w:val="000000"/>
          <w:sz w:val="32"/>
          <w:szCs w:val="32"/>
        </w:rPr>
      </w:pPr>
      <w:r>
        <w:rPr>
          <w:rFonts w:ascii="仿宋_GB2312" w:eastAsia="仿宋_GB2312" w:hAnsi="仿宋" w:cs="仿宋" w:hint="eastAsia"/>
          <w:color w:val="000000"/>
          <w:sz w:val="32"/>
          <w:szCs w:val="32"/>
        </w:rPr>
        <w:lastRenderedPageBreak/>
        <w:t>3．“项目支出决算明细表”中列支“工资福利支出”和“对个人和家庭的补助”的依据及说明。</w:t>
      </w:r>
    </w:p>
    <w:p w:rsidR="00312894" w:rsidRDefault="00312894" w:rsidP="00312894">
      <w:pPr>
        <w:ind w:firstLine="709"/>
        <w:rPr>
          <w:rFonts w:ascii="仿宋_GB2312" w:eastAsia="仿宋_GB2312" w:hAnsi="仿宋" w:cs="Times New Roman"/>
          <w:color w:val="000000"/>
          <w:sz w:val="32"/>
          <w:szCs w:val="32"/>
        </w:rPr>
      </w:pPr>
    </w:p>
    <w:p w:rsidR="00312894" w:rsidRDefault="00312894" w:rsidP="00312894">
      <w:pPr>
        <w:ind w:firstLine="709"/>
        <w:rPr>
          <w:rFonts w:ascii="仿宋_GB2312" w:eastAsia="仿宋_GB2312" w:hAnsi="仿宋" w:cs="Times New Roman"/>
          <w:color w:val="FF0000"/>
          <w:sz w:val="32"/>
          <w:szCs w:val="32"/>
        </w:rPr>
      </w:pPr>
      <w:r>
        <w:rPr>
          <w:rFonts w:ascii="仿宋_GB2312" w:eastAsia="仿宋_GB2312" w:hAnsi="仿宋" w:cs="仿宋" w:hint="eastAsia"/>
          <w:color w:val="000000"/>
          <w:sz w:val="32"/>
          <w:szCs w:val="32"/>
        </w:rPr>
        <w:t>4.“三公”经费统计数</w:t>
      </w:r>
      <w:r>
        <w:rPr>
          <w:rFonts w:ascii="仿宋_GB2312" w:eastAsia="仿宋_GB2312" w:hAnsi="仿宋" w:cs="仿宋"/>
          <w:color w:val="000000"/>
          <w:sz w:val="32"/>
          <w:szCs w:val="32"/>
        </w:rPr>
        <w:t>的特殊情况</w:t>
      </w:r>
      <w:r>
        <w:rPr>
          <w:rFonts w:ascii="仿宋_GB2312" w:eastAsia="仿宋_GB2312" w:hAnsi="仿宋" w:cs="仿宋" w:hint="eastAsia"/>
          <w:color w:val="000000"/>
          <w:sz w:val="32"/>
          <w:szCs w:val="32"/>
        </w:rPr>
        <w:t>说明</w:t>
      </w:r>
      <w:r>
        <w:rPr>
          <w:rFonts w:ascii="仿宋_GB2312" w:eastAsia="仿宋_GB2312" w:hAnsi="仿宋" w:cs="仿宋"/>
          <w:color w:val="000000"/>
          <w:sz w:val="32"/>
          <w:szCs w:val="32"/>
        </w:rPr>
        <w:t>。</w:t>
      </w:r>
    </w:p>
    <w:p w:rsidR="00312894" w:rsidRDefault="00312894" w:rsidP="00312894">
      <w:pPr>
        <w:ind w:firstLine="709"/>
        <w:rPr>
          <w:rFonts w:ascii="仿宋_GB2312" w:eastAsia="仿宋_GB2312" w:hAnsi="仿宋" w:cs="仿宋"/>
          <w:bCs/>
          <w:sz w:val="32"/>
          <w:szCs w:val="32"/>
        </w:rPr>
      </w:pPr>
      <w:r>
        <w:rPr>
          <w:rFonts w:ascii="仿宋_GB2312" w:eastAsia="仿宋_GB2312" w:hAnsi="仿宋" w:cs="仿宋" w:hint="eastAsia"/>
          <w:bCs/>
          <w:sz w:val="32"/>
          <w:szCs w:val="32"/>
        </w:rPr>
        <w:t>5.行政单位、参照公务员法管理的事业单位机关运行经费支出情况，以及与上年数对比变动原因说明。</w:t>
      </w:r>
    </w:p>
    <w:tbl>
      <w:tblPr>
        <w:tblW w:w="4997" w:type="pct"/>
        <w:tblCellMar>
          <w:left w:w="0" w:type="dxa"/>
          <w:right w:w="0" w:type="dxa"/>
        </w:tblCellMar>
        <w:tblLook w:val="0000"/>
      </w:tblPr>
      <w:tblGrid>
        <w:gridCol w:w="2221"/>
        <w:gridCol w:w="1010"/>
        <w:gridCol w:w="1219"/>
        <w:gridCol w:w="1187"/>
        <w:gridCol w:w="1192"/>
        <w:gridCol w:w="776"/>
        <w:gridCol w:w="1150"/>
      </w:tblGrid>
      <w:tr w:rsidR="00312894" w:rsidTr="009D02F2">
        <w:trPr>
          <w:trHeight w:val="270"/>
        </w:trPr>
        <w:tc>
          <w:tcPr>
            <w:tcW w:w="1268" w:type="pct"/>
            <w:tcBorders>
              <w:top w:val="single" w:sz="4" w:space="0" w:color="74777D"/>
              <w:left w:val="single" w:sz="4" w:space="0" w:color="74777D"/>
              <w:bottom w:val="single" w:sz="4" w:space="0" w:color="74777D"/>
              <w:right w:val="single" w:sz="4" w:space="0" w:color="74777D"/>
            </w:tcBorders>
            <w:shd w:val="clear" w:color="EBEFF3" w:fill="EBEFF3"/>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指标</w:t>
            </w:r>
          </w:p>
        </w:tc>
        <w:tc>
          <w:tcPr>
            <w:tcW w:w="577" w:type="pct"/>
            <w:vMerge w:val="restar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行次</w:t>
            </w:r>
          </w:p>
        </w:tc>
        <w:tc>
          <w:tcPr>
            <w:tcW w:w="696"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本年度</w:t>
            </w:r>
          </w:p>
        </w:tc>
        <w:tc>
          <w:tcPr>
            <w:tcW w:w="678"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上年度</w:t>
            </w:r>
          </w:p>
        </w:tc>
        <w:tc>
          <w:tcPr>
            <w:tcW w:w="681"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比上年增减</w:t>
            </w:r>
          </w:p>
        </w:tc>
        <w:tc>
          <w:tcPr>
            <w:tcW w:w="443"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增减％</w:t>
            </w:r>
          </w:p>
        </w:tc>
        <w:tc>
          <w:tcPr>
            <w:tcW w:w="657" w:type="pct"/>
            <w:tcBorders>
              <w:top w:val="single" w:sz="4" w:space="0" w:color="74777D"/>
              <w:left w:val="single" w:sz="4" w:space="0" w:color="74777D"/>
              <w:bottom w:val="single" w:sz="4" w:space="0" w:color="74777D"/>
              <w:right w:val="single" w:sz="4" w:space="0" w:color="74777D"/>
            </w:tcBorders>
            <w:shd w:val="clear" w:color="EBEFF3" w:fill="EBEFF3"/>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原因</w:t>
            </w:r>
          </w:p>
        </w:tc>
      </w:tr>
      <w:tr w:rsidR="00312894" w:rsidTr="009D02F2">
        <w:trPr>
          <w:trHeight w:val="270"/>
        </w:trPr>
        <w:tc>
          <w:tcPr>
            <w:tcW w:w="1268" w:type="pct"/>
            <w:tcBorders>
              <w:top w:val="single" w:sz="4" w:space="0" w:color="74777D"/>
              <w:left w:val="single" w:sz="4" w:space="0" w:color="74777D"/>
              <w:bottom w:val="single" w:sz="4" w:space="0" w:color="74777D"/>
              <w:right w:val="single" w:sz="4" w:space="0" w:color="74777D"/>
            </w:tcBorders>
            <w:shd w:val="clear" w:color="EBEFF3" w:fill="EBEFF3"/>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栏次</w:t>
            </w:r>
          </w:p>
        </w:tc>
        <w:tc>
          <w:tcPr>
            <w:tcW w:w="577" w:type="pct"/>
            <w:vMerge/>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p>
        </w:tc>
        <w:tc>
          <w:tcPr>
            <w:tcW w:w="696"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1</w:t>
            </w:r>
          </w:p>
        </w:tc>
        <w:tc>
          <w:tcPr>
            <w:tcW w:w="678"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2</w:t>
            </w:r>
          </w:p>
        </w:tc>
        <w:tc>
          <w:tcPr>
            <w:tcW w:w="681"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3</w:t>
            </w:r>
          </w:p>
        </w:tc>
        <w:tc>
          <w:tcPr>
            <w:tcW w:w="443" w:type="pct"/>
            <w:tcBorders>
              <w:top w:val="single" w:sz="4" w:space="0" w:color="74777D"/>
              <w:left w:val="single" w:sz="4" w:space="0" w:color="74777D"/>
              <w:bottom w:val="single" w:sz="4" w:space="0" w:color="74777D"/>
              <w:right w:val="single" w:sz="4" w:space="0" w:color="74777D"/>
            </w:tcBorders>
            <w:shd w:val="clear" w:color="EBEFF3" w:fill="EBEFF3"/>
            <w:noWrap/>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4</w:t>
            </w:r>
          </w:p>
        </w:tc>
        <w:tc>
          <w:tcPr>
            <w:tcW w:w="657" w:type="pct"/>
            <w:tcBorders>
              <w:top w:val="single" w:sz="4" w:space="0" w:color="74777D"/>
              <w:left w:val="single" w:sz="4" w:space="0" w:color="74777D"/>
              <w:bottom w:val="single" w:sz="4" w:space="0" w:color="74777D"/>
              <w:right w:val="single" w:sz="4" w:space="0" w:color="74777D"/>
            </w:tcBorders>
            <w:shd w:val="clear" w:color="EBEFF3" w:fill="EBEFF3"/>
            <w:tcMar>
              <w:top w:w="15" w:type="dxa"/>
              <w:left w:w="15" w:type="dxa"/>
              <w:right w:w="15" w:type="dxa"/>
            </w:tcMar>
            <w:vAlign w:val="center"/>
          </w:tcPr>
          <w:p w:rsidR="00312894" w:rsidRDefault="00312894" w:rsidP="008A5885">
            <w:pPr>
              <w:jc w:val="center"/>
              <w:textAlignment w:val="center"/>
              <w:rPr>
                <w:rFonts w:ascii="宋体" w:eastAsia="宋体" w:hAnsi="宋体" w:cs="宋体" w:hint="eastAsia"/>
                <w:color w:val="000000"/>
                <w:sz w:val="20"/>
                <w:szCs w:val="20"/>
                <w:lang/>
              </w:rPr>
            </w:pPr>
            <w:r>
              <w:rPr>
                <w:rFonts w:ascii="宋体" w:eastAsia="宋体" w:hAnsi="宋体" w:cs="宋体" w:hint="eastAsia"/>
                <w:color w:val="000000"/>
                <w:sz w:val="20"/>
                <w:szCs w:val="20"/>
                <w:lang/>
              </w:rPr>
              <w:t>5</w:t>
            </w:r>
          </w:p>
        </w:tc>
      </w:tr>
      <w:tr w:rsidR="009D02F2" w:rsidTr="009D02F2">
        <w:trPr>
          <w:trHeight w:val="270"/>
        </w:trPr>
        <w:tc>
          <w:tcPr>
            <w:tcW w:w="1268" w:type="pct"/>
            <w:tcBorders>
              <w:top w:val="nil"/>
              <w:left w:val="nil"/>
              <w:bottom w:val="nil"/>
              <w:right w:val="nil"/>
            </w:tcBorders>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 xml:space="preserve">    5.机关运行经费</w:t>
            </w:r>
          </w:p>
        </w:tc>
        <w:tc>
          <w:tcPr>
            <w:tcW w:w="577" w:type="pct"/>
            <w:tcBorders>
              <w:top w:val="nil"/>
              <w:left w:val="nil"/>
              <w:bottom w:val="nil"/>
              <w:right w:val="nil"/>
            </w:tcBorders>
            <w:noWrap/>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53</w:t>
            </w:r>
          </w:p>
        </w:tc>
        <w:tc>
          <w:tcPr>
            <w:tcW w:w="696" w:type="pct"/>
            <w:tcBorders>
              <w:top w:val="nil"/>
              <w:left w:val="nil"/>
              <w:bottom w:val="nil"/>
              <w:right w:val="nil"/>
            </w:tcBorders>
            <w:noWrap/>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102,852.75</w:t>
            </w:r>
          </w:p>
        </w:tc>
        <w:tc>
          <w:tcPr>
            <w:tcW w:w="678" w:type="pct"/>
            <w:tcBorders>
              <w:top w:val="nil"/>
              <w:left w:val="nil"/>
              <w:bottom w:val="nil"/>
              <w:right w:val="nil"/>
            </w:tcBorders>
            <w:noWrap/>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111,366.40</w:t>
            </w:r>
          </w:p>
        </w:tc>
        <w:tc>
          <w:tcPr>
            <w:tcW w:w="681" w:type="pct"/>
            <w:tcBorders>
              <w:top w:val="nil"/>
              <w:left w:val="nil"/>
              <w:bottom w:val="nil"/>
              <w:right w:val="nil"/>
            </w:tcBorders>
            <w:noWrap/>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FF0000"/>
                <w:sz w:val="16"/>
                <w:szCs w:val="16"/>
              </w:rPr>
              <w:t>-8,513.65</w:t>
            </w:r>
          </w:p>
        </w:tc>
        <w:tc>
          <w:tcPr>
            <w:tcW w:w="443" w:type="pct"/>
            <w:tcBorders>
              <w:top w:val="nil"/>
              <w:left w:val="nil"/>
              <w:bottom w:val="nil"/>
              <w:right w:val="nil"/>
            </w:tcBorders>
            <w:noWrap/>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-7.64</w:t>
            </w:r>
          </w:p>
        </w:tc>
        <w:tc>
          <w:tcPr>
            <w:tcW w:w="657" w:type="pct"/>
            <w:tcBorders>
              <w:top w:val="nil"/>
              <w:left w:val="nil"/>
              <w:bottom w:val="nil"/>
              <w:right w:val="nil"/>
            </w:tcBorders>
            <w:tcMar>
              <w:top w:w="15" w:type="dxa"/>
              <w:left w:w="15" w:type="dxa"/>
              <w:right w:w="15" w:type="dxa"/>
            </w:tcMar>
            <w:vAlign w:val="center"/>
          </w:tcPr>
          <w:p w:rsidR="009D02F2" w:rsidRPr="00312894" w:rsidRDefault="009D02F2" w:rsidP="008A5885">
            <w:pPr>
              <w:adjustRightInd/>
              <w:snapToGrid/>
              <w:spacing w:after="0"/>
              <w:rPr>
                <w:rFonts w:ascii="宋体" w:eastAsia="宋体" w:hAnsi="宋体" w:cs="宋体"/>
                <w:color w:val="000000"/>
                <w:sz w:val="16"/>
                <w:szCs w:val="16"/>
              </w:rPr>
            </w:pPr>
            <w:r w:rsidRPr="00312894">
              <w:rPr>
                <w:rFonts w:ascii="宋体" w:eastAsia="宋体" w:hAnsi="宋体" w:cs="宋体" w:hint="eastAsia"/>
                <w:color w:val="000000"/>
                <w:sz w:val="16"/>
                <w:szCs w:val="16"/>
              </w:rPr>
              <w:t>人员调整调动</w:t>
            </w:r>
          </w:p>
        </w:tc>
      </w:tr>
    </w:tbl>
    <w:p w:rsidR="00312894" w:rsidRDefault="00312894" w:rsidP="00312894">
      <w:pPr>
        <w:ind w:firstLine="709"/>
        <w:rPr>
          <w:rFonts w:ascii="仿宋_GB2312" w:eastAsia="仿宋_GB2312" w:hAnsi="仿宋" w:cs="仿宋"/>
          <w:bCs/>
          <w:sz w:val="32"/>
          <w:szCs w:val="32"/>
        </w:rPr>
      </w:pPr>
    </w:p>
    <w:p w:rsidR="00312894" w:rsidRDefault="00312894" w:rsidP="00312894">
      <w:pPr>
        <w:ind w:firstLine="709"/>
        <w:rPr>
          <w:rFonts w:ascii="仿宋_GB2312" w:eastAsia="仿宋_GB2312" w:hAnsi="仿宋" w:cs="仿宋"/>
          <w:sz w:val="32"/>
          <w:szCs w:val="32"/>
        </w:rPr>
      </w:pPr>
      <w:r>
        <w:rPr>
          <w:rFonts w:ascii="仿宋_GB2312" w:eastAsia="仿宋_GB2312" w:hAnsi="仿宋" w:cs="仿宋" w:hint="eastAsia"/>
          <w:bCs/>
          <w:sz w:val="32"/>
          <w:szCs w:val="32"/>
        </w:rPr>
        <w:t>6.政府采购支出情况，包括采购类型、采购规模和授予中小企业合同金额等。</w:t>
      </w:r>
    </w:p>
    <w:p w:rsidR="00312894" w:rsidRDefault="00312894" w:rsidP="00312894">
      <w:pPr>
        <w:ind w:firstLine="709"/>
        <w:rPr>
          <w:rFonts w:ascii="仿宋_GB2312" w:eastAsia="仿宋_GB2312" w:hAnsi="仿宋" w:cs="仿宋" w:hint="eastAsia"/>
          <w:sz w:val="32"/>
          <w:szCs w:val="32"/>
        </w:rPr>
      </w:pPr>
      <w:r>
        <w:rPr>
          <w:rFonts w:ascii="仿宋_GB2312" w:eastAsia="仿宋_GB2312" w:hAnsi="仿宋" w:cs="仿宋" w:hint="eastAsia"/>
          <w:bCs/>
          <w:sz w:val="32"/>
          <w:szCs w:val="32"/>
        </w:rPr>
        <w:t>7.“收入支出决算总表”中如全年预算数大于年初预算数，</w:t>
      </w:r>
      <w:r>
        <w:rPr>
          <w:rFonts w:ascii="仿宋_GB2312" w:eastAsia="仿宋_GB2312" w:hAnsi="仿宋" w:cs="仿宋" w:hint="eastAsia"/>
          <w:sz w:val="32"/>
          <w:szCs w:val="32"/>
        </w:rPr>
        <w:t>说明单位财政拨款预算和非财政拨款预算调整情况以及经审批或备案的文件依据。</w:t>
      </w:r>
    </w:p>
    <w:tbl>
      <w:tblPr>
        <w:tblW w:w="10320" w:type="dxa"/>
        <w:tblInd w:w="95" w:type="dxa"/>
        <w:tblLook w:val="04A0"/>
      </w:tblPr>
      <w:tblGrid>
        <w:gridCol w:w="1480"/>
        <w:gridCol w:w="1200"/>
        <w:gridCol w:w="1900"/>
        <w:gridCol w:w="980"/>
        <w:gridCol w:w="700"/>
        <w:gridCol w:w="920"/>
        <w:gridCol w:w="1060"/>
        <w:gridCol w:w="2080"/>
      </w:tblGrid>
      <w:tr w:rsidR="00B039D5" w:rsidRPr="00B039D5" w:rsidTr="00B039D5">
        <w:trPr>
          <w:trHeight w:val="342"/>
        </w:trPr>
        <w:tc>
          <w:tcPr>
            <w:tcW w:w="148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文号</w:t>
            </w:r>
          </w:p>
        </w:tc>
        <w:tc>
          <w:tcPr>
            <w:tcW w:w="120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上级文号</w:t>
            </w:r>
          </w:p>
        </w:tc>
        <w:tc>
          <w:tcPr>
            <w:tcW w:w="190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部门预算支出经济分类</w:t>
            </w:r>
          </w:p>
        </w:tc>
        <w:tc>
          <w:tcPr>
            <w:tcW w:w="98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批复数</w:t>
            </w:r>
          </w:p>
        </w:tc>
        <w:tc>
          <w:tcPr>
            <w:tcW w:w="70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调整数</w:t>
            </w:r>
          </w:p>
        </w:tc>
        <w:tc>
          <w:tcPr>
            <w:tcW w:w="92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调剂数</w:t>
            </w:r>
          </w:p>
        </w:tc>
        <w:tc>
          <w:tcPr>
            <w:tcW w:w="106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预算数</w:t>
            </w:r>
          </w:p>
        </w:tc>
        <w:tc>
          <w:tcPr>
            <w:tcW w:w="2080" w:type="dxa"/>
            <w:vMerge w:val="restart"/>
            <w:tcBorders>
              <w:top w:val="single" w:sz="4" w:space="0" w:color="C0C0C0"/>
              <w:left w:val="single" w:sz="4" w:space="0" w:color="C0C0C0"/>
              <w:bottom w:val="single" w:sz="4" w:space="0" w:color="C0C0C0"/>
              <w:right w:val="single" w:sz="4" w:space="0" w:color="C0C0C0"/>
            </w:tcBorders>
            <w:shd w:val="clear" w:color="EFF2F7" w:fill="EFF2F7"/>
            <w:noWrap/>
            <w:vAlign w:val="center"/>
            <w:hideMark/>
          </w:tcPr>
          <w:p w:rsidR="00B039D5" w:rsidRPr="00B039D5" w:rsidRDefault="00B039D5" w:rsidP="00B039D5">
            <w:pPr>
              <w:adjustRightInd/>
              <w:snapToGrid/>
              <w:spacing w:after="0"/>
              <w:jc w:val="center"/>
              <w:rPr>
                <w:rFonts w:ascii="宋体" w:eastAsia="宋体" w:hAnsi="宋体" w:cs="宋体"/>
                <w:b/>
                <w:bCs/>
                <w:color w:val="000000"/>
              </w:rPr>
            </w:pPr>
            <w:r w:rsidRPr="00B039D5">
              <w:rPr>
                <w:rFonts w:ascii="宋体" w:eastAsia="宋体" w:hAnsi="宋体" w:cs="宋体" w:hint="eastAsia"/>
                <w:b/>
                <w:bCs/>
                <w:color w:val="000000"/>
              </w:rPr>
              <w:t>指标标题</w:t>
            </w:r>
          </w:p>
        </w:tc>
      </w:tr>
      <w:tr w:rsidR="00B039D5" w:rsidRPr="00B039D5" w:rsidTr="00B039D5">
        <w:trPr>
          <w:trHeight w:val="570"/>
        </w:trPr>
        <w:tc>
          <w:tcPr>
            <w:tcW w:w="148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120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190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98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70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92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106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c>
          <w:tcPr>
            <w:tcW w:w="2080" w:type="dxa"/>
            <w:vMerge/>
            <w:tcBorders>
              <w:top w:val="single" w:sz="4" w:space="0" w:color="C0C0C0"/>
              <w:left w:val="single" w:sz="4" w:space="0" w:color="C0C0C0"/>
              <w:bottom w:val="single" w:sz="4" w:space="0" w:color="C0C0C0"/>
              <w:right w:val="single" w:sz="4" w:space="0" w:color="C0C0C0"/>
            </w:tcBorders>
            <w:vAlign w:val="center"/>
            <w:hideMark/>
          </w:tcPr>
          <w:p w:rsidR="00B039D5" w:rsidRPr="00B039D5" w:rsidRDefault="00B039D5" w:rsidP="00B039D5">
            <w:pPr>
              <w:adjustRightInd/>
              <w:snapToGrid/>
              <w:spacing w:after="0"/>
              <w:rPr>
                <w:rFonts w:ascii="宋体" w:eastAsia="宋体" w:hAnsi="宋体" w:cs="宋体"/>
                <w:b/>
                <w:bCs/>
                <w:color w:val="000000"/>
              </w:rPr>
            </w:pPr>
          </w:p>
        </w:tc>
      </w:tr>
      <w:tr w:rsidR="00B039D5" w:rsidRPr="00B039D5" w:rsidTr="00B039D5">
        <w:trPr>
          <w:trHeight w:val="450"/>
        </w:trPr>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察财预指[2023]013号</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昌财预指〔2023〕040号</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30102-津贴补贴</w:t>
            </w: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18.15</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18.15</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工资福利支出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察财预指[2023]16号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昌财预指〔2023〕046号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0.43</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0.43</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财政局年终奖</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察财预指[2023]16号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昌财预指〔2023〕046号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30101-基本工资</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0.91</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0.91</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2023年高海拔工龄折算补发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3019901-个人取暖费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1.29</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-1.29</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工资性支出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30101-基本工资</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23.33</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23.33</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工资性支出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7.19</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7.19</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工资性支出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30102-津贴补贴</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63.88</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63.88</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工资性支出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30102-津贴补贴</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1.29</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1.29</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工资性支出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其他社会保险缴费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lastRenderedPageBreak/>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3011202-工伤保险</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0.09</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0.09</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其他社会保险缴费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3019905-休假探亲费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0.44</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0.44</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休假探亲费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3019905-休假探亲费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5.19</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5.19</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其他工资福利支出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0.31</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0.31</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机关事业单位养老保险缴费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30108-机关事业单位基本养老保险缴费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13.94</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-0.31</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13.63</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机关事业单位养老保险缴费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30110-职工基本医疗保险缴费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7.58</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-1.02</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6.56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城镇职工基本医疗保险缴费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1.02</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1.02</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城镇职工基本医疗保险缴费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30103-奖金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0.06</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公务员医疗补助</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30111-公务员医疗补助缴费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1.76</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-0.06</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1.70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公务员医疗补助</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察财预指[2023]16号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昌财预指〔2023〕046号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30113-住房公积金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0.04</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0.04</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财政局公积金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30113-住房公积金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10.46</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10.46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住房公积金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察财预指[2023]012号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昌财预指〔2023〕026号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30309-奖励金</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0.15</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0.15</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2022年优秀公务员及三等功表彰资金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30114-医疗费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1.08</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1.08</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在职干部职工体检费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3029904-食堂补助</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0.17</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0.17</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食堂补助</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3029904-食堂补助</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0.12</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0.12</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伙食费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30201-办公费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0.26</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残保金预算不足</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30205-水费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0.08</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-0.08</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30201-办公费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2.50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2.50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30204-手续费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0.12</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-0.09</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0.03</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30211-差旅费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2.82</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-1.69</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1.13</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3029999-其他商品和服务支出</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1.21</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1.21</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30229-福利费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0.04</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0.04</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30206-电费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0.22</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0.22</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30206-电费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0.50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0.50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3029904-食堂补助</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2.16</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2.16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商品和服务支出</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察财预指[2023]16号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昌财预指〔2023〕046号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30228-工会经费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0.20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财政局工会经费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30228-工会经费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1.74</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1.74</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工会经费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察财预存[2022]1号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察财预存[2022]1号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31099-其他资本性支出</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57.98</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57.98</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乡镇垃圾转运车车辆保险</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lastRenderedPageBreak/>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3029999-其他商品和服务支出</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税务局工作经费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3029999-其他商品和服务支出</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48.00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-4.46</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43.54</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国防后备力量建设资金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察财预指[2022]001号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31005-基础设施建设</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19.72</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19.72</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2022年环保水源地保护工程</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察财预存[2023]001号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非税系统运维费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30201-办公费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-1.74</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3.26</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财政运转经费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w:t>
            </w:r>
            <w:proofErr w:type="spellStart"/>
            <w:r w:rsidRPr="00B039D5">
              <w:rPr>
                <w:rFonts w:ascii="宋体" w:eastAsia="宋体" w:hAnsi="宋体" w:cs="宋体" w:hint="eastAsia"/>
                <w:color w:val="000000"/>
                <w:sz w:val="16"/>
                <w:szCs w:val="16"/>
              </w:rPr>
              <w:t>yuzhi</w:t>
            </w:r>
            <w:proofErr w:type="spellEnd"/>
            <w:r w:rsidRPr="00B039D5">
              <w:rPr>
                <w:rFonts w:ascii="宋体" w:eastAsia="宋体" w:hAnsi="宋体" w:cs="宋体" w:hint="eastAsia"/>
                <w:color w:val="000000"/>
                <w:sz w:val="16"/>
                <w:szCs w:val="16"/>
              </w:rPr>
              <w:t>[2021]42号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31099-其他资本性支出</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7.95</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7.95</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察雅县扩达乡旺达村磁脉冲垃圾处理附属工程</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察财预指[2021]1号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察财预收【2022】1号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31005-基础设施建设</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187.90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187.90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2021年重点生态功能区支付资金</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察财预存[2022]1号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察财预存[2022]1号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18.90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18.90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财政投资项目评审费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-0.65</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49.35</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财评费用</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察财预存[2023]001号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12.00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绩效评价三方服务费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46.08</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46.08</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绩效评价工作费用</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察财预存[2023]001号</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5.60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5.60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财政第三方服务费</w:t>
            </w:r>
          </w:p>
        </w:tc>
      </w:tr>
      <w:tr w:rsidR="00B039D5" w:rsidRPr="00B039D5" w:rsidTr="00B039D5">
        <w:trPr>
          <w:trHeight w:val="450"/>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察财预指〔2023〕001号</w:t>
            </w:r>
          </w:p>
        </w:tc>
        <w:tc>
          <w:tcPr>
            <w:tcW w:w="12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 xml:space="preserve">　</w:t>
            </w:r>
          </w:p>
        </w:tc>
        <w:tc>
          <w:tcPr>
            <w:tcW w:w="19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30227-委托业务费</w:t>
            </w:r>
          </w:p>
        </w:tc>
        <w:tc>
          <w:tcPr>
            <w:tcW w:w="9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20.00</w:t>
            </w:r>
          </w:p>
        </w:tc>
        <w:tc>
          <w:tcPr>
            <w:tcW w:w="70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92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0.00</w:t>
            </w:r>
          </w:p>
        </w:tc>
        <w:tc>
          <w:tcPr>
            <w:tcW w:w="106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20.00</w:t>
            </w:r>
          </w:p>
        </w:tc>
        <w:tc>
          <w:tcPr>
            <w:tcW w:w="2080" w:type="dxa"/>
            <w:tcBorders>
              <w:top w:val="nil"/>
              <w:left w:val="nil"/>
              <w:bottom w:val="single" w:sz="4" w:space="0" w:color="auto"/>
              <w:right w:val="single" w:sz="4" w:space="0" w:color="auto"/>
            </w:tcBorders>
            <w:shd w:val="clear" w:color="auto" w:fill="auto"/>
            <w:vAlign w:val="center"/>
            <w:hideMark/>
          </w:tcPr>
          <w:p w:rsidR="00B039D5" w:rsidRPr="00B039D5" w:rsidRDefault="00B039D5" w:rsidP="00B039D5">
            <w:pPr>
              <w:adjustRightInd/>
              <w:snapToGrid/>
              <w:spacing w:after="0"/>
              <w:rPr>
                <w:rFonts w:ascii="宋体" w:eastAsia="宋体" w:hAnsi="宋体" w:cs="宋体"/>
                <w:color w:val="000000"/>
                <w:sz w:val="16"/>
                <w:szCs w:val="16"/>
              </w:rPr>
            </w:pPr>
            <w:r w:rsidRPr="00B039D5">
              <w:rPr>
                <w:rFonts w:ascii="宋体" w:eastAsia="宋体" w:hAnsi="宋体" w:cs="宋体" w:hint="eastAsia"/>
                <w:color w:val="000000"/>
                <w:sz w:val="16"/>
                <w:szCs w:val="16"/>
              </w:rPr>
              <w:t>政府采购咨询费</w:t>
            </w:r>
          </w:p>
        </w:tc>
      </w:tr>
    </w:tbl>
    <w:p w:rsidR="00312894" w:rsidRDefault="00312894" w:rsidP="00312894">
      <w:pPr>
        <w:ind w:firstLine="709"/>
        <w:rPr>
          <w:rFonts w:ascii="仿宋_GB2312" w:eastAsia="仿宋_GB2312" w:hAnsi="仿宋" w:cs="仿宋" w:hint="eastAsia"/>
          <w:sz w:val="32"/>
          <w:szCs w:val="32"/>
        </w:rPr>
      </w:pPr>
    </w:p>
    <w:p w:rsidR="00312894" w:rsidRDefault="00312894" w:rsidP="00312894">
      <w:pPr>
        <w:ind w:firstLine="709"/>
        <w:rPr>
          <w:rFonts w:ascii="仿宋_GB2312" w:eastAsia="仿宋_GB2312" w:hAnsi="仿宋" w:cs="仿宋"/>
          <w:bCs/>
          <w:sz w:val="32"/>
          <w:szCs w:val="32"/>
        </w:rPr>
      </w:pPr>
      <w:r>
        <w:rPr>
          <w:rFonts w:ascii="仿宋_GB2312" w:eastAsia="仿宋_GB2312" w:hAnsi="仿宋" w:cs="仿宋"/>
          <w:bCs/>
          <w:sz w:val="32"/>
          <w:szCs w:val="32"/>
          <w:lang/>
        </w:rPr>
        <w:t>8</w:t>
      </w:r>
      <w:r>
        <w:rPr>
          <w:rFonts w:ascii="仿宋_GB2312" w:eastAsia="仿宋_GB2312" w:hAnsi="仿宋" w:cs="仿宋" w:hint="eastAsia"/>
          <w:bCs/>
          <w:sz w:val="32"/>
          <w:szCs w:val="32"/>
        </w:rPr>
        <w:t>.中央部门财政拨款结转和结余情况（附表4）。</w:t>
      </w:r>
    </w:p>
    <w:p w:rsidR="00312894" w:rsidRDefault="00312894" w:rsidP="00312894">
      <w:pPr>
        <w:ind w:firstLine="709"/>
        <w:rPr>
          <w:dstrike/>
        </w:rPr>
      </w:pPr>
      <w:r>
        <w:rPr>
          <w:rFonts w:ascii="仿宋_GB2312" w:eastAsia="仿宋_GB2312" w:hAnsi="仿宋" w:cs="仿宋"/>
          <w:bCs/>
          <w:sz w:val="32"/>
          <w:szCs w:val="32"/>
          <w:lang/>
        </w:rPr>
        <w:t>9</w:t>
      </w:r>
      <w:r>
        <w:rPr>
          <w:rFonts w:ascii="仿宋_GB2312" w:eastAsia="仿宋_GB2312" w:hAnsi="仿宋" w:cs="仿宋" w:hint="eastAsia"/>
          <w:bCs/>
          <w:sz w:val="32"/>
          <w:szCs w:val="32"/>
        </w:rPr>
        <w:t>.</w:t>
      </w:r>
      <w:r>
        <w:rPr>
          <w:rFonts w:ascii="仿宋_GB2312" w:eastAsia="仿宋_GB2312" w:hAnsi="仿宋" w:cs="仿宋"/>
          <w:sz w:val="32"/>
          <w:szCs w:val="32"/>
        </w:rPr>
        <w:t>其他需要说明的问题。</w:t>
      </w:r>
      <w:r>
        <w:rPr>
          <w:rFonts w:ascii="仿宋_GB2312" w:eastAsia="仿宋_GB2312" w:hAnsi="仿宋" w:cs="仿宋" w:hint="eastAsia"/>
          <w:sz w:val="32"/>
          <w:szCs w:val="32"/>
        </w:rPr>
        <w:t>如</w:t>
      </w:r>
      <w:r>
        <w:rPr>
          <w:rFonts w:ascii="仿宋_GB2312" w:eastAsia="仿宋_GB2312" w:hAnsi="仿宋" w:cs="仿宋" w:hint="eastAsia"/>
          <w:bCs/>
          <w:sz w:val="32"/>
          <w:szCs w:val="32"/>
        </w:rPr>
        <w:t>中央单位驻外机构有关情况（附表5、6），部门所属预算单位数量与预算草案中预算单位数量、决算报表中独立核算机构数不一致的，请作出说明。</w:t>
      </w:r>
    </w:p>
    <w:p w:rsidR="004358AB" w:rsidRDefault="004358AB" w:rsidP="00D31D50">
      <w:pPr>
        <w:spacing w:line="220" w:lineRule="atLeast"/>
      </w:pPr>
    </w:p>
    <w:sectPr w:rsidR="004358AB">
      <w:footerReference w:type="default" r:id="rId6"/>
      <w:pgSz w:w="11906" w:h="16838"/>
      <w:pgMar w:top="1440" w:right="1588" w:bottom="1440"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004" w:rsidRDefault="001E7004" w:rsidP="00312894">
      <w:pPr>
        <w:spacing w:after="0"/>
      </w:pPr>
      <w:r>
        <w:separator/>
      </w:r>
    </w:p>
  </w:endnote>
  <w:endnote w:type="continuationSeparator" w:id="0">
    <w:p w:rsidR="001E7004" w:rsidRDefault="001E7004" w:rsidP="003128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E7004">
    <w:pPr>
      <w:pStyle w:val="a4"/>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sidR="00B039D5" w:rsidRPr="00B039D5">
      <w:rPr>
        <w:rFonts w:ascii="Arial" w:hAnsi="Arial" w:cs="Arial"/>
        <w:noProof/>
        <w:sz w:val="24"/>
        <w:szCs w:val="24"/>
        <w:lang w:val="zh-CN" w:eastAsia="zh-CN"/>
      </w:rPr>
      <w:t>9</w:t>
    </w:r>
    <w:r>
      <w:rPr>
        <w:rFonts w:ascii="Arial" w:hAnsi="Arial" w:cs="Arial"/>
        <w:sz w:val="24"/>
        <w:szCs w:val="24"/>
      </w:rPr>
      <w:fldChar w:fldCharType="end"/>
    </w:r>
  </w:p>
  <w:p w:rsidR="00000000" w:rsidRDefault="001E700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004" w:rsidRDefault="001E7004" w:rsidP="00312894">
      <w:pPr>
        <w:spacing w:after="0"/>
      </w:pPr>
      <w:r>
        <w:separator/>
      </w:r>
    </w:p>
  </w:footnote>
  <w:footnote w:type="continuationSeparator" w:id="0">
    <w:p w:rsidR="001E7004" w:rsidRDefault="001E7004" w:rsidP="0031289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E7004"/>
    <w:rsid w:val="00312894"/>
    <w:rsid w:val="00323B43"/>
    <w:rsid w:val="003D37D8"/>
    <w:rsid w:val="00426133"/>
    <w:rsid w:val="004358AB"/>
    <w:rsid w:val="008B7726"/>
    <w:rsid w:val="009D02F2"/>
    <w:rsid w:val="00B039D5"/>
    <w:rsid w:val="00D31D50"/>
    <w:rsid w:val="00E26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31289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12894"/>
    <w:rPr>
      <w:rFonts w:ascii="Tahoma" w:hAnsi="Tahoma"/>
      <w:sz w:val="18"/>
      <w:szCs w:val="18"/>
    </w:rPr>
  </w:style>
  <w:style w:type="paragraph" w:styleId="a4">
    <w:name w:val="footer"/>
    <w:basedOn w:val="a"/>
    <w:link w:val="Char0"/>
    <w:unhideWhenUsed/>
    <w:qFormat/>
    <w:rsid w:val="00312894"/>
    <w:pPr>
      <w:tabs>
        <w:tab w:val="center" w:pos="4153"/>
        <w:tab w:val="right" w:pos="8306"/>
      </w:tabs>
    </w:pPr>
    <w:rPr>
      <w:sz w:val="18"/>
      <w:szCs w:val="18"/>
    </w:rPr>
  </w:style>
  <w:style w:type="character" w:customStyle="1" w:styleId="Char0">
    <w:name w:val="页脚 Char"/>
    <w:basedOn w:val="a0"/>
    <w:link w:val="a4"/>
    <w:uiPriority w:val="99"/>
    <w:semiHidden/>
    <w:rsid w:val="00312894"/>
    <w:rPr>
      <w:rFonts w:ascii="Tahoma" w:hAnsi="Tahoma"/>
      <w:sz w:val="18"/>
      <w:szCs w:val="18"/>
    </w:rPr>
  </w:style>
  <w:style w:type="paragraph" w:styleId="a5">
    <w:name w:val="Document Map"/>
    <w:basedOn w:val="a"/>
    <w:link w:val="Char1"/>
    <w:unhideWhenUsed/>
    <w:rsid w:val="00312894"/>
    <w:pPr>
      <w:widowControl w:val="0"/>
      <w:adjustRightInd/>
      <w:snapToGrid/>
      <w:spacing w:after="0"/>
      <w:jc w:val="both"/>
    </w:pPr>
    <w:rPr>
      <w:rFonts w:ascii="宋体" w:eastAsia="宋体" w:hAnsi="Calibri" w:cs="Times New Roman"/>
      <w:kern w:val="2"/>
      <w:sz w:val="18"/>
      <w:szCs w:val="18"/>
    </w:rPr>
  </w:style>
  <w:style w:type="character" w:customStyle="1" w:styleId="Char1">
    <w:name w:val="文档结构图 Char"/>
    <w:basedOn w:val="a0"/>
    <w:link w:val="a5"/>
    <w:rsid w:val="00312894"/>
    <w:rPr>
      <w:rFonts w:ascii="宋体" w:eastAsia="宋体" w:hAnsi="Calibri" w:cs="Times New Roman"/>
      <w:kern w:val="2"/>
      <w:sz w:val="18"/>
      <w:szCs w:val="18"/>
    </w:rPr>
  </w:style>
  <w:style w:type="paragraph" w:styleId="a6">
    <w:name w:val="Balloon Text"/>
    <w:basedOn w:val="a"/>
    <w:link w:val="Char2"/>
    <w:qFormat/>
    <w:rsid w:val="00312894"/>
    <w:pPr>
      <w:widowControl w:val="0"/>
      <w:adjustRightInd/>
      <w:snapToGrid/>
      <w:spacing w:after="0"/>
      <w:jc w:val="both"/>
    </w:pPr>
    <w:rPr>
      <w:rFonts w:ascii="Calibri" w:eastAsia="宋体" w:hAnsi="Calibri" w:cs="Times New Roman"/>
      <w:kern w:val="2"/>
      <w:sz w:val="18"/>
      <w:szCs w:val="18"/>
    </w:rPr>
  </w:style>
  <w:style w:type="character" w:customStyle="1" w:styleId="Char2">
    <w:name w:val="批注框文本 Char"/>
    <w:basedOn w:val="a0"/>
    <w:link w:val="a6"/>
    <w:rsid w:val="00312894"/>
    <w:rPr>
      <w:rFonts w:ascii="Calibri" w:eastAsia="宋体" w:hAnsi="Calibri" w:cs="Times New Roman"/>
      <w:kern w:val="2"/>
      <w:sz w:val="18"/>
      <w:szCs w:val="18"/>
    </w:rPr>
  </w:style>
  <w:style w:type="character" w:customStyle="1" w:styleId="a7">
    <w:name w:val="批注框文本 字符"/>
    <w:qFormat/>
    <w:rsid w:val="00312894"/>
    <w:rPr>
      <w:rFonts w:ascii="Calibri" w:eastAsia="宋体" w:hAnsi="Calibri" w:cs="Calibri"/>
      <w:kern w:val="2"/>
      <w:sz w:val="18"/>
      <w:szCs w:val="18"/>
    </w:rPr>
  </w:style>
  <w:style w:type="character" w:customStyle="1" w:styleId="a8">
    <w:name w:val="页眉 字符"/>
    <w:qFormat/>
    <w:rsid w:val="00312894"/>
    <w:rPr>
      <w:rFonts w:ascii="Calibri" w:eastAsia="宋体" w:hAnsi="Calibri" w:cs="Calibri"/>
      <w:kern w:val="2"/>
      <w:sz w:val="18"/>
      <w:szCs w:val="18"/>
    </w:rPr>
  </w:style>
  <w:style w:type="paragraph" w:styleId="a9">
    <w:name w:val="Revision"/>
    <w:semiHidden/>
    <w:rsid w:val="00312894"/>
    <w:pPr>
      <w:spacing w:after="0" w:line="240" w:lineRule="auto"/>
    </w:pPr>
    <w:rPr>
      <w:rFonts w:ascii="Calibri" w:eastAsia="宋体" w:hAnsi="Calibri" w:cs="Calibri"/>
      <w:kern w:val="2"/>
      <w:sz w:val="21"/>
      <w:szCs w:val="21"/>
    </w:rPr>
  </w:style>
</w:styles>
</file>

<file path=word/webSettings.xml><?xml version="1.0" encoding="utf-8"?>
<w:webSettings xmlns:r="http://schemas.openxmlformats.org/officeDocument/2006/relationships" xmlns:w="http://schemas.openxmlformats.org/wordprocessingml/2006/main">
  <w:divs>
    <w:div w:id="111174149">
      <w:bodyDiv w:val="1"/>
      <w:marLeft w:val="0"/>
      <w:marRight w:val="0"/>
      <w:marTop w:val="0"/>
      <w:marBottom w:val="0"/>
      <w:divBdr>
        <w:top w:val="none" w:sz="0" w:space="0" w:color="auto"/>
        <w:left w:val="none" w:sz="0" w:space="0" w:color="auto"/>
        <w:bottom w:val="none" w:sz="0" w:space="0" w:color="auto"/>
        <w:right w:val="none" w:sz="0" w:space="0" w:color="auto"/>
      </w:divBdr>
    </w:div>
    <w:div w:id="960068159">
      <w:bodyDiv w:val="1"/>
      <w:marLeft w:val="0"/>
      <w:marRight w:val="0"/>
      <w:marTop w:val="0"/>
      <w:marBottom w:val="0"/>
      <w:divBdr>
        <w:top w:val="none" w:sz="0" w:space="0" w:color="auto"/>
        <w:left w:val="none" w:sz="0" w:space="0" w:color="auto"/>
        <w:bottom w:val="none" w:sz="0" w:space="0" w:color="auto"/>
        <w:right w:val="none" w:sz="0" w:space="0" w:color="auto"/>
      </w:divBdr>
    </w:div>
    <w:div w:id="149402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9</Pages>
  <Words>1330</Words>
  <Characters>7587</Characters>
  <Application>Microsoft Office Word</Application>
  <DocSecurity>0</DocSecurity>
  <Lines>63</Lines>
  <Paragraphs>17</Paragraphs>
  <ScaleCrop>false</ScaleCrop>
  <Company/>
  <LinksUpToDate>false</LinksUpToDate>
  <CharactersWithSpaces>8900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cp:revision>
  <dcterms:created xsi:type="dcterms:W3CDTF">2008-09-11T17:20:00Z</dcterms:created>
  <dcterms:modified xsi:type="dcterms:W3CDTF">2024-02-05T03:58:00Z</dcterms:modified>
</cp:coreProperties>
</file>