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26712D">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察雅县重大项目建设服务保障机制</w:t>
      </w:r>
    </w:p>
    <w:p w14:paraId="78E4D07F">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Times New Roman" w:hAnsi="Times New Roman" w:eastAsia="方正小标宋简体" w:cs="Times New Roman"/>
          <w:sz w:val="44"/>
          <w:szCs w:val="44"/>
          <w:lang w:eastAsia="zh-CN"/>
        </w:rPr>
      </w:pPr>
      <w:r>
        <w:rPr>
          <w:rFonts w:hint="eastAsia" w:ascii="Times New Roman" w:hAnsi="Times New Roman" w:eastAsia="方正小标宋简体" w:cs="Times New Roman"/>
          <w:sz w:val="44"/>
          <w:szCs w:val="44"/>
          <w:lang w:eastAsia="zh-CN"/>
        </w:rPr>
        <w:t>（征求意见稿）</w:t>
      </w:r>
    </w:p>
    <w:p w14:paraId="70484437">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Times New Roman" w:hAnsi="Times New Roman" w:eastAsia="方正小标宋简体" w:cs="Times New Roman"/>
          <w:sz w:val="44"/>
          <w:szCs w:val="44"/>
          <w:lang w:eastAsia="zh-CN"/>
        </w:rPr>
      </w:pPr>
    </w:p>
    <w:p w14:paraId="2EA0F381">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第一章 </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rPr>
        <w:t>总则</w:t>
      </w:r>
    </w:p>
    <w:p w14:paraId="1B3D9990">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第一条</w:t>
      </w:r>
      <w:r>
        <w:rPr>
          <w:rFonts w:hint="default" w:ascii="Times New Roman" w:hAnsi="Times New Roman" w:eastAsia="仿宋_GB2312" w:cs="Times New Roman"/>
          <w:sz w:val="32"/>
          <w:szCs w:val="32"/>
        </w:rPr>
        <w:t xml:space="preserve"> 为高效协调解决重大项目推进中的困难问题，规范监管行为，充分调动各方积极性，营造和谐共建良好氛围，确保档案真实完整可追溯，结合察雅县实际，制定本机制。</w:t>
      </w:r>
    </w:p>
    <w:p w14:paraId="7D9FDFB3">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第二条</w:t>
      </w:r>
      <w:r>
        <w:rPr>
          <w:rFonts w:hint="default" w:ascii="Times New Roman" w:hAnsi="Times New Roman" w:eastAsia="仿宋_GB2312" w:cs="Times New Roman"/>
          <w:sz w:val="32"/>
          <w:szCs w:val="32"/>
        </w:rPr>
        <w:t xml:space="preserve"> 本机制适用于在察雅县行政区域内实施的中央、自治区、市、县四级重大项目（含交通、水利、能源、市政、民生等领域），以及县委、县政府确定需</w:t>
      </w:r>
      <w:bookmarkStart w:id="0" w:name="_GoBack"/>
      <w:bookmarkEnd w:id="0"/>
      <w:r>
        <w:rPr>
          <w:rFonts w:hint="default" w:ascii="Times New Roman" w:hAnsi="Times New Roman" w:eastAsia="仿宋_GB2312" w:cs="Times New Roman"/>
          <w:sz w:val="32"/>
          <w:szCs w:val="32"/>
        </w:rPr>
        <w:t>要纳入服务保障的重点项目。</w:t>
      </w:r>
    </w:p>
    <w:p w14:paraId="44C7306C">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第三条</w:t>
      </w:r>
      <w:r>
        <w:rPr>
          <w:rFonts w:hint="default" w:ascii="Times New Roman" w:hAnsi="Times New Roman" w:eastAsia="仿宋_GB2312" w:cs="Times New Roman"/>
          <w:sz w:val="32"/>
          <w:szCs w:val="32"/>
        </w:rPr>
        <w:t xml:space="preserve"> 成立由县委</w:t>
      </w:r>
      <w:r>
        <w:rPr>
          <w:rFonts w:hint="default" w:ascii="Times New Roman" w:hAnsi="Times New Roman" w:eastAsia="仿宋_GB2312" w:cs="Times New Roman"/>
          <w:sz w:val="32"/>
          <w:szCs w:val="32"/>
          <w:lang w:eastAsia="zh-CN"/>
        </w:rPr>
        <w:t>、县</w:t>
      </w:r>
      <w:r>
        <w:rPr>
          <w:rFonts w:hint="default" w:ascii="Times New Roman" w:hAnsi="Times New Roman" w:eastAsia="仿宋_GB2312" w:cs="Times New Roman"/>
          <w:sz w:val="32"/>
          <w:szCs w:val="32"/>
        </w:rPr>
        <w:t>政府主要领导任双组长，政府各分管副县长任副组长，13乡（镇）和各行业部门主要负责同志为成员的察雅县重大项目建设服务保障工作领导小组。领导小组下设办公室（以下简称</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县保障办</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），设在县政府办公室，由县</w:t>
      </w:r>
      <w:r>
        <w:rPr>
          <w:rFonts w:hint="eastAsia" w:ascii="Times New Roman" w:hAnsi="Times New Roman" w:eastAsia="仿宋_GB2312" w:cs="Times New Roman"/>
          <w:sz w:val="32"/>
          <w:szCs w:val="32"/>
          <w:lang w:val="en-US" w:eastAsia="zh-CN"/>
        </w:rPr>
        <w:t>政府办</w:t>
      </w:r>
      <w:r>
        <w:rPr>
          <w:rFonts w:hint="default" w:ascii="Times New Roman" w:hAnsi="Times New Roman" w:eastAsia="仿宋_GB2312" w:cs="Times New Roman"/>
          <w:sz w:val="32"/>
          <w:szCs w:val="32"/>
        </w:rPr>
        <w:t>1名负责同志兼任办公室主任，配备</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名专职工作人员。</w:t>
      </w:r>
    </w:p>
    <w:p w14:paraId="7363C7E8">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第二章 </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rPr>
        <w:t>定期会商机制</w:t>
      </w:r>
    </w:p>
    <w:p w14:paraId="281E421D">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第四条</w:t>
      </w:r>
      <w:r>
        <w:rPr>
          <w:rFonts w:hint="default" w:ascii="Times New Roman" w:hAnsi="Times New Roman" w:eastAsia="仿宋_GB2312" w:cs="Times New Roman"/>
          <w:sz w:val="32"/>
          <w:szCs w:val="32"/>
        </w:rPr>
        <w:t xml:space="preserve"> 建立分级会商制度，实行县级会商、部门会商、乡镇属地会商三级联动。</w:t>
      </w:r>
    </w:p>
    <w:p w14:paraId="54D2E1D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（一）县级会商。</w:t>
      </w:r>
      <w:r>
        <w:rPr>
          <w:rFonts w:hint="default" w:ascii="Times New Roman" w:hAnsi="Times New Roman" w:eastAsia="仿宋_GB2312" w:cs="Times New Roman"/>
          <w:sz w:val="32"/>
          <w:szCs w:val="32"/>
        </w:rPr>
        <w:t>每月25日前后召开一次，全年不少于12次。遇重大项目集中开工期、汛期施工、上级交办紧急事项或出现重大矛盾纠纷时，可随时召开专题会商会议。全体会议由组长或受委托的副组长主持，各成员单位主要负责同志参加；专题会商由涉及议题的成员单位参加，必要时邀请项目业主、施工企业、监理单位负责人列席。会商内容包括：听取各行业部门、乡镇关于重大项目推进情况的汇报；研究项目审批、用地、用林用草、环评、水保、征地拆迁、砂石地材供应、施工用电、劳务用工、交通运输、安全生产、矛盾纠纷等方面的重大问题；审议需要县委、县政府层面协调或向上级争取支持的事项；交办阶段性重点任务。议题申报由各成员单位于每月20日前书面报县保障办，县保障办梳理汇总后于会前3天报组长、副组长审定并印发。会商议定形成《察雅县重大项目建设会商会议纪要》，明确议定事项、责任单位、配合单位、完成时限，经组长或主持人签发后于会后2个工作日内印发，同步抄送县委督查室、县政府督查室。</w:t>
      </w:r>
    </w:p>
    <w:p w14:paraId="1D12F3D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（二）部门会商。</w:t>
      </w:r>
      <w:r>
        <w:rPr>
          <w:rFonts w:hint="default" w:ascii="Times New Roman" w:hAnsi="Times New Roman" w:eastAsia="仿宋_GB2312" w:cs="Times New Roman"/>
          <w:sz w:val="32"/>
          <w:szCs w:val="32"/>
        </w:rPr>
        <w:t>各行业部门根据本领域项目实际，每半月召开一次系统内会商会议，研究本行业领域项目推进中的具体问题，包括项目手续办理进度、工程质量安全监管情况、风险隐患、需要跨部门协调的事项等。部门会商形成的意见和需要提交县级会商的事项，于会商后3个工作日内报县保障办。</w:t>
      </w:r>
    </w:p>
    <w:p w14:paraId="3712AA3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（三）乡镇属地会商。</w:t>
      </w:r>
      <w:r>
        <w:rPr>
          <w:rFonts w:hint="default" w:ascii="Times New Roman" w:hAnsi="Times New Roman" w:eastAsia="仿宋_GB2312" w:cs="Times New Roman"/>
          <w:sz w:val="32"/>
          <w:szCs w:val="32"/>
        </w:rPr>
        <w:t>各乡（镇）每10天召开一次属地会商会议（即每月逢8、18、28日前后召开），在征地拆迁、劳务纠纷、地材运输矛盾高发期提高为每周一次。由乡（镇）党委书记或乡（镇）长主持，分管副乡（镇）长、包村领导、驻村工作队、村</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两委</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负责人、项目业主代表、施工标段负责人、监理负责人参加。会商内容包括征地补偿安置、群众机械车辆参与地材运输和劳务用工统筹安排、施工影响群众生产生活问题、矛盾纠纷排查化解、群众合理诉求收集办理等。乡镇会商无法解决的问题，填写《察雅县重大项目建设问题上报单》，经乡（镇）党委书记签字后于3个工作日内报县保障办。</w:t>
      </w:r>
    </w:p>
    <w:p w14:paraId="5E6B38F5">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第五条</w:t>
      </w:r>
      <w:r>
        <w:rPr>
          <w:rFonts w:hint="default" w:ascii="Times New Roman" w:hAnsi="Times New Roman" w:eastAsia="仿宋_GB2312" w:cs="Times New Roman"/>
          <w:sz w:val="32"/>
          <w:szCs w:val="32"/>
        </w:rPr>
        <w:t xml:space="preserve"> 建立闭环运行流程：问题收集→会商研判→交办落实→跟踪督办→反馈销号。通过企业直报、乡镇上报、行业部门排查、信访转办、领导调研发现等渠道，由县保障办统一归集问题；分类梳理后分别提交县级、部门或乡镇会商处理；以《督办通知》《会议纪要</w:t>
      </w:r>
      <w:r>
        <w:rPr>
          <w:rFonts w:hint="default" w:ascii="Times New Roman" w:hAnsi="Times New Roman" w:eastAsia="仿宋_GB2312" w:cs="Times New Roman"/>
          <w:sz w:val="32"/>
          <w:szCs w:val="32"/>
          <w:lang w:eastAsia="zh-CN"/>
        </w:rPr>
        <w:t>》等</w:t>
      </w:r>
      <w:r>
        <w:rPr>
          <w:rFonts w:hint="default" w:ascii="Times New Roman" w:hAnsi="Times New Roman" w:eastAsia="仿宋_GB2312" w:cs="Times New Roman"/>
          <w:sz w:val="32"/>
          <w:szCs w:val="32"/>
        </w:rPr>
        <w:t>形式交办，明确责任单位和完成时限；县保障办建立台账，每周调度一次进度，对临期事项提前3天预警提醒；责任单位办结后书面反馈，县保障办现场核实后销号。逾期未办结且无正当理由的，转县委督查室、县政府督查室挂牌督办。</w:t>
      </w:r>
    </w:p>
    <w:p w14:paraId="1A00886B">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第六条</w:t>
      </w:r>
      <w:r>
        <w:rPr>
          <w:rFonts w:hint="default" w:ascii="Times New Roman" w:hAnsi="Times New Roman" w:eastAsia="仿宋_GB2312" w:cs="Times New Roman"/>
          <w:sz w:val="32"/>
          <w:szCs w:val="32"/>
        </w:rPr>
        <w:t xml:space="preserve"> 建立常态化沟通对接制度。县保障办指定1名总联络员；各成员单位各明确1名分管副职和1名联络员；各重大项目业主方明确1名对接专员；各乡（镇）由分管副乡（镇）长兼任联络员。联络员名单及联系方式由县保障办统一制册。县保障办每月至少走访各重点项目现场1次，当面收集企业诉求。对需向上级部门协调的事项，由分管县领导带队赴自治区、市相关部门对接。</w:t>
      </w:r>
    </w:p>
    <w:p w14:paraId="477ADBF5">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第三章 </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rPr>
        <w:t>激励约束机制</w:t>
      </w:r>
    </w:p>
    <w:p w14:paraId="47B64109">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第七条</w:t>
      </w:r>
      <w:r>
        <w:rPr>
          <w:rFonts w:hint="default" w:ascii="Times New Roman" w:hAnsi="Times New Roman" w:eastAsia="仿宋_GB2312" w:cs="Times New Roman"/>
          <w:sz w:val="32"/>
          <w:szCs w:val="32"/>
        </w:rPr>
        <w:t xml:space="preserve"> 建立正负面信息采集台账。各行业部门、乡镇在日常监管和服务中，发现参建企业或单位有以下情形的，及时报县保障办登记。</w:t>
      </w:r>
    </w:p>
    <w:p w14:paraId="5891DEC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正面信息：</w:t>
      </w:r>
      <w:r>
        <w:rPr>
          <w:rFonts w:hint="default" w:ascii="Times New Roman" w:hAnsi="Times New Roman" w:eastAsia="仿宋_GB2312" w:cs="Times New Roman"/>
          <w:sz w:val="32"/>
          <w:szCs w:val="32"/>
        </w:rPr>
        <w:t>超额完成投资计划和形象进度，提前完成节点目标的；工程质量优良、安全管理规范，受到上级表扬或创优评先的；积极履行社会责任，参与当地公益事业、带动群众就业增收成效突出的；主动配合属地管理，矛盾纠纷化解有力；在应急抢险、救灾救援中表现突出的。</w:t>
      </w:r>
    </w:p>
    <w:p w14:paraId="7D51637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负面信息：</w:t>
      </w:r>
      <w:r>
        <w:rPr>
          <w:rFonts w:hint="default" w:ascii="Times New Roman" w:hAnsi="Times New Roman" w:eastAsia="仿宋_GB2312" w:cs="Times New Roman"/>
          <w:sz w:val="32"/>
          <w:szCs w:val="32"/>
        </w:rPr>
        <w:t>未按合同约定工期推进，进度严重滞后的；发生质量事故、安全事故或存在重大安全隐患拒不整改的；反复拖欠农民工工资、恶意欠薪；违规违法用地、破坏生态环境、未批先建；不服从属地管理、阻挠干扰正常监管执法；引发群体性事件或造成恶劣社会影响的。</w:t>
      </w:r>
    </w:p>
    <w:p w14:paraId="26D17C37">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第八条</w:t>
      </w:r>
      <w:r>
        <w:rPr>
          <w:rFonts w:hint="default" w:ascii="Times New Roman" w:hAnsi="Times New Roman" w:eastAsia="仿宋_GB2312" w:cs="Times New Roman"/>
          <w:sz w:val="32"/>
          <w:szCs w:val="32"/>
        </w:rPr>
        <w:t xml:space="preserve"> 对参建企业的激励措施。</w:t>
      </w:r>
      <w:r>
        <w:rPr>
          <w:rFonts w:hint="default" w:ascii="Times New Roman" w:hAnsi="Times New Roman" w:eastAsia="仿宋_GB2312" w:cs="Times New Roman"/>
          <w:sz w:val="32"/>
          <w:szCs w:val="32"/>
          <w:u w:val="none"/>
        </w:rPr>
        <w:t>对连续2次以上进入正面台账、年度综合评定为</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优秀</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等级的参建企业：在砂石地材供应、劳务用工协调、施工便道使用、临时用地保障</w:t>
      </w:r>
      <w:r>
        <w:rPr>
          <w:rFonts w:hint="eastAsia" w:ascii="Times New Roman" w:hAnsi="Times New Roman" w:eastAsia="仿宋_GB2312" w:cs="Times New Roman"/>
          <w:sz w:val="32"/>
          <w:szCs w:val="32"/>
          <w:u w:val="none"/>
          <w:lang w:eastAsia="zh-CN"/>
        </w:rPr>
        <w:t>、</w:t>
      </w:r>
      <w:r>
        <w:rPr>
          <w:rFonts w:hint="eastAsia" w:ascii="Times New Roman" w:hAnsi="Times New Roman" w:eastAsia="仿宋_GB2312" w:cs="Times New Roman"/>
          <w:sz w:val="32"/>
          <w:szCs w:val="32"/>
          <w:u w:val="none"/>
          <w:lang w:val="en-US" w:eastAsia="zh-CN"/>
        </w:rPr>
        <w:t>涉企事项</w:t>
      </w:r>
      <w:r>
        <w:rPr>
          <w:rFonts w:hint="default" w:ascii="Times New Roman" w:hAnsi="Times New Roman" w:eastAsia="仿宋_GB2312" w:cs="Times New Roman"/>
          <w:sz w:val="32"/>
          <w:szCs w:val="32"/>
          <w:u w:val="none"/>
        </w:rPr>
        <w:t>等方面</w:t>
      </w:r>
      <w:r>
        <w:rPr>
          <w:rFonts w:hint="eastAsia" w:ascii="Times New Roman" w:hAnsi="Times New Roman" w:eastAsia="仿宋_GB2312" w:cs="Times New Roman"/>
          <w:sz w:val="32"/>
          <w:szCs w:val="32"/>
          <w:u w:val="none"/>
          <w:lang w:val="en-US" w:eastAsia="zh-CN"/>
        </w:rPr>
        <w:t>依法给予</w:t>
      </w:r>
      <w:r>
        <w:rPr>
          <w:rFonts w:hint="default" w:ascii="Times New Roman" w:hAnsi="Times New Roman" w:eastAsia="仿宋_GB2312" w:cs="Times New Roman"/>
          <w:sz w:val="32"/>
          <w:szCs w:val="32"/>
          <w:u w:val="none"/>
        </w:rPr>
        <w:t>保障；降低</w:t>
      </w:r>
      <w:r>
        <w:rPr>
          <w:rFonts w:hint="default" w:ascii="Times New Roman" w:hAnsi="Times New Roman" w:eastAsia="仿宋_GB2312" w:cs="Times New Roman"/>
          <w:sz w:val="32"/>
          <w:szCs w:val="32"/>
        </w:rPr>
        <w:t>日常检查频次（不含安全生产和生态环保等法定检查）；由县委、县政府向企业总部制发《表扬信》，评选</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察雅县重大项目建设优秀参建单位</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等荣誉称号；将企业良好业绩和履约情况抄送其上级公司和上级行业监管部门。</w:t>
      </w:r>
    </w:p>
    <w:p w14:paraId="03499FA6">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第九条</w:t>
      </w:r>
      <w:r>
        <w:rPr>
          <w:rFonts w:hint="default" w:ascii="Times New Roman" w:hAnsi="Times New Roman" w:eastAsia="仿宋_GB2312" w:cs="Times New Roman"/>
          <w:sz w:val="32"/>
          <w:szCs w:val="32"/>
        </w:rPr>
        <w:t xml:space="preserve"> 对参建企业的惩戒措施。首次发现一般性问题，由县保障办或行业部门发放《工作提示函》，限期纠正；同一问题第二次发现或整改不到位的，由分管县级领导或行业部门主要负责人约谈企业项目负责人，下发《限期整改督办通知》，在县级会商会议上通报；第三次发现或逾期未整改的，由县保障办制发《通报批评》，纳入重点监管名单；拒不整改、情节严重的，由</w:t>
      </w:r>
      <w:r>
        <w:rPr>
          <w:rFonts w:hint="eastAsia" w:ascii="Times New Roman" w:hAnsi="Times New Roman" w:eastAsia="仿宋_GB2312" w:cs="Times New Roman"/>
          <w:sz w:val="32"/>
          <w:szCs w:val="32"/>
          <w:u w:val="none"/>
          <w:lang w:val="en-US" w:eastAsia="zh-CN"/>
        </w:rPr>
        <w:t>有执法权的</w:t>
      </w:r>
      <w:r>
        <w:rPr>
          <w:rFonts w:hint="default" w:ascii="Times New Roman" w:hAnsi="Times New Roman" w:eastAsia="仿宋_GB2312" w:cs="Times New Roman"/>
          <w:sz w:val="32"/>
          <w:szCs w:val="32"/>
        </w:rPr>
        <w:t>行业部门依法实施行政处罚（罚款、责令停工整顿等），将不良行为信息推送至信用信息共享平台；涉嫌违法的，移交司法机关依法处理。涉及安全生产事故、恶意欠薪、破坏生态环境等重大违法行为的，不适用递进程序，直接依法从快从严处理。</w:t>
      </w:r>
    </w:p>
    <w:p w14:paraId="10CEA890">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bCs/>
          <w:sz w:val="32"/>
          <w:szCs w:val="32"/>
        </w:rPr>
        <w:t>第十条</w:t>
      </w:r>
      <w:r>
        <w:rPr>
          <w:rFonts w:hint="default" w:ascii="Times New Roman" w:hAnsi="Times New Roman" w:eastAsia="仿宋_GB2312" w:cs="Times New Roman"/>
          <w:sz w:val="32"/>
          <w:szCs w:val="32"/>
        </w:rPr>
        <w:t xml:space="preserve"> 对乡镇和县直部门的奖惩。对在重大项目服务保障工作中征地拆迁完成快、矛盾纠纷化解好、要素保障有力，在会商机制执行中信息报送及时、议定事项落实到位的，在年度综合目标考核中酌情加分，优先推荐评先评优，在项目前期经费、工作经费等方面给予倾斜。首次出现推诿扯皮、不落实议定事项的，由县保障办发放《工作提醒函》限期整改；第二次出现同类问题或因工作不力导致项目推进受阻的，由县委、县政府分管领导约谈单位主要负责同志，取消当年评先评优资格；因严重不作为、乱作为导致项目停工或造成恶劣影响的，移交县纪委监委依规依纪追责问责。</w:t>
      </w:r>
    </w:p>
    <w:p w14:paraId="28F53A35">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bCs/>
          <w:sz w:val="32"/>
          <w:szCs w:val="32"/>
        </w:rPr>
        <w:t>第十一条</w:t>
      </w:r>
      <w:r>
        <w:rPr>
          <w:rFonts w:hint="default" w:ascii="Times New Roman" w:hAnsi="Times New Roman" w:eastAsia="仿宋_GB2312" w:cs="Times New Roman"/>
          <w:sz w:val="32"/>
          <w:szCs w:val="32"/>
        </w:rPr>
        <w:t xml:space="preserve"> 奖惩实行</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一事一记、季度汇总、半年评定、年度总评</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。县保障办每季度将正负面信息台账汇总报领导小组审定后通报；每半年开展一次评定；年度总评结果作为下一年度各类资源配置和政策倾斜的重要依据。本机制执行情况纳入年度综合考核。</w:t>
      </w:r>
    </w:p>
    <w:p w14:paraId="1F9564D5">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第四章 </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rPr>
        <w:t>党群联建机制</w:t>
      </w:r>
    </w:p>
    <w:p w14:paraId="79F46479">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bCs/>
          <w:sz w:val="32"/>
          <w:szCs w:val="32"/>
        </w:rPr>
        <w:t>第十二条</w:t>
      </w:r>
      <w:r>
        <w:rPr>
          <w:rFonts w:hint="default" w:ascii="Times New Roman" w:hAnsi="Times New Roman" w:eastAsia="仿宋_GB2312" w:cs="Times New Roman"/>
          <w:sz w:val="32"/>
          <w:szCs w:val="32"/>
        </w:rPr>
        <w:t xml:space="preserve"> 建立组织联建制度。凡在察雅县境内实施的重大项目（或标段），工期在6个月以上、党员人数3人以上的，由项目所在乡（镇）党委牵头，联合项目业主方、施工企业、监理单位中的党员和项目涉及村的党员，成立联合党支部（或临时党支部），统一纳入乡（镇）党委管理。联合党支部设支部书记1名、副书记1-2名、委员若干名，由乡（镇）党委和参建企业党组织协商确定。项目结束后联合党支部自动撤销。联合党支部职责包括：宣传党的路线方针政策和国家法律法规；协调解决施工中涉及的群众利益问题；教育管理参建党员；组织开展民族团结进步创建活动；收集社情民意，排查化解矛盾纠纷。联合党支部每月至少召开1次支部会议，每季度至少开展1次主题党日活动。设立党员先锋岗、党员责任区、党员突击队，在征地拆迁协调、安全生产管理等关键岗位优先安排党员骨干。</w:t>
      </w:r>
    </w:p>
    <w:p w14:paraId="1A946240">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bCs/>
          <w:sz w:val="32"/>
          <w:szCs w:val="32"/>
        </w:rPr>
        <w:t>第十三条</w:t>
      </w:r>
      <w:r>
        <w:rPr>
          <w:rFonts w:hint="default" w:ascii="Times New Roman" w:hAnsi="Times New Roman" w:eastAsia="仿宋_GB2312" w:cs="Times New Roman"/>
          <w:sz w:val="32"/>
          <w:szCs w:val="32"/>
        </w:rPr>
        <w:t xml:space="preserve"> 建立群团联建制度。工会联建方面，由县总工会</w:t>
      </w:r>
      <w:r>
        <w:rPr>
          <w:rFonts w:hint="eastAsia" w:ascii="Times New Roman" w:hAnsi="Times New Roman" w:eastAsia="仿宋_GB2312" w:cs="Times New Roman"/>
          <w:sz w:val="32"/>
          <w:szCs w:val="32"/>
          <w:lang w:val="en-US" w:eastAsia="zh-CN"/>
        </w:rPr>
        <w:t>和县人社局</w:t>
      </w:r>
      <w:r>
        <w:rPr>
          <w:rFonts w:hint="default" w:ascii="Times New Roman" w:hAnsi="Times New Roman" w:eastAsia="仿宋_GB2312" w:cs="Times New Roman"/>
          <w:sz w:val="32"/>
          <w:szCs w:val="32"/>
        </w:rPr>
        <w:t>牵头，每年至少组织2次劳动竞赛和技能</w:t>
      </w:r>
      <w:r>
        <w:rPr>
          <w:rFonts w:hint="eastAsia" w:ascii="Times New Roman" w:hAnsi="Times New Roman" w:eastAsia="仿宋_GB2312" w:cs="Times New Roman"/>
          <w:sz w:val="32"/>
          <w:szCs w:val="32"/>
          <w:lang w:val="en-US" w:eastAsia="zh-CN"/>
        </w:rPr>
        <w:t>比赛</w:t>
      </w:r>
      <w:r>
        <w:rPr>
          <w:rFonts w:hint="default" w:ascii="Times New Roman" w:hAnsi="Times New Roman" w:eastAsia="仿宋_GB2312" w:cs="Times New Roman"/>
          <w:sz w:val="32"/>
          <w:szCs w:val="32"/>
        </w:rPr>
        <w:t>活动，每年</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五一</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前后开展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最美建设者</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评选，夏冬两季开展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送清凉</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送温暖</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活动。共青团联建方面，由团县委牵头，在青年务工人员集中的项目组建青年突击队、青年志愿服务队，每年至少组织1次青年联谊活动，开展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青年安全生产示范岗</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创建。妇联联建方面，由县妇联牵头，每年至少开展2次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巾帼宣讲</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进工地活动，开展健康关爱活动，联合处理涉及妇女权益的矛盾纠纷。工商联联建方面，由县工商联牵头，引导本地民营企业依法依规参与项目配套服务，每年至少组织1次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政企面对面</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座谈会。</w:t>
      </w:r>
    </w:p>
    <w:p w14:paraId="2CDEA672">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bCs/>
          <w:sz w:val="32"/>
          <w:szCs w:val="32"/>
        </w:rPr>
        <w:t>第十四条</w:t>
      </w:r>
      <w:r>
        <w:rPr>
          <w:rFonts w:hint="default" w:ascii="Times New Roman" w:hAnsi="Times New Roman" w:eastAsia="仿宋_GB2312" w:cs="Times New Roman"/>
          <w:sz w:val="32"/>
          <w:szCs w:val="32"/>
        </w:rPr>
        <w:t xml:space="preserve"> 建立</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四进工地</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活动制度。文艺文化进工地，由县委宣传部、县文化和旅游局牵头，每季度至少开展1次文艺演出或露天电影放映活动，全年不少于4次，结合</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3·28</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西藏百万农奴解放纪念日、五一劳动节、七一建党节、国庆节、藏历新年等节点开展专场慰问演出。医疗健康进工地，由县卫生健康委员会牵头，每季度至少开展1次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送医送药送健康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活动，包括义诊、免费体检、职业病防治讲座、高原病预防与急救培训、传染病防控宣传，对海拔较高条件艰苦的项目营地适当增加巡诊频次。体育活动进营地，由县教育局（体育局）牵头，每年举办1次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察雅县重大项目参建单位体育联谊赛</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，围绕昌都市</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红色昌都·振兴奋进</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群众性比赛活动设立企业组或企业代表队。政策法律进工地，由县司法局牵头，联合县人社局、信访局、公安局等部门，每季度至少开展1次政策法律宣讲，在项目部设立</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法律援助联络点</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w:t>
      </w:r>
    </w:p>
    <w:p w14:paraId="55A2F822">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bCs/>
          <w:sz w:val="32"/>
          <w:szCs w:val="32"/>
        </w:rPr>
        <w:t>第十五条</w:t>
      </w:r>
      <w:r>
        <w:rPr>
          <w:rFonts w:hint="default" w:ascii="Times New Roman" w:hAnsi="Times New Roman" w:eastAsia="仿宋_GB2312" w:cs="Times New Roman"/>
          <w:sz w:val="32"/>
          <w:szCs w:val="32"/>
        </w:rPr>
        <w:t xml:space="preserve"> 建立企地共建共享制度。鼓励参建企业与项目所在村（社区）签订结对共建协议，在劳务用工、技能培训、农产品销售、基础设施改善等方面开展实质性帮扶，每个重大项目企业每年至少落实1-2件惠及当地群众的实事。引导企业在力所能及范围内支持当地教育、医疗、道路维修、安全饮水等公益事业，捐赠行为纳入企业正面信用记录。在保证工程质量安全前提下，</w:t>
      </w:r>
      <w:r>
        <w:rPr>
          <w:rFonts w:hint="eastAsia" w:ascii="Times New Roman" w:hAnsi="Times New Roman" w:eastAsia="仿宋_GB2312" w:cs="Times New Roman"/>
          <w:sz w:val="32"/>
          <w:szCs w:val="32"/>
          <w:lang w:val="en-US" w:eastAsia="zh-CN"/>
        </w:rPr>
        <w:t>鼓励</w:t>
      </w:r>
      <w:r>
        <w:rPr>
          <w:rFonts w:hint="default" w:ascii="Times New Roman" w:hAnsi="Times New Roman" w:eastAsia="仿宋_GB2312" w:cs="Times New Roman"/>
          <w:sz w:val="32"/>
          <w:szCs w:val="32"/>
        </w:rPr>
        <w:t>项目所在乡（镇）群众就地就近务工，由乡镇统筹安排，防止恶性竞争和强买强卖。每年至少组织1次参建企业职工与当地群众共同参与的民族团结联谊活动。</w:t>
      </w:r>
    </w:p>
    <w:p w14:paraId="60280218">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bCs/>
          <w:sz w:val="32"/>
          <w:szCs w:val="32"/>
        </w:rPr>
        <w:t>第十六条</w:t>
      </w:r>
      <w:r>
        <w:rPr>
          <w:rFonts w:hint="default" w:ascii="Times New Roman" w:hAnsi="Times New Roman" w:eastAsia="仿宋_GB2312" w:cs="Times New Roman"/>
          <w:sz w:val="32"/>
          <w:szCs w:val="32"/>
        </w:rPr>
        <w:t xml:space="preserve"> 党群联建工作由县委组织部牵头统筹，县委宣传部、统战部，县总工会、团县委、县妇联、县工商联、县文旅局、县卫健委、县教育局、县司法局等按职责分工落实。各乡（镇）党委将联建工作纳入党建工作年度计划。参建企业应将党群联建活动经费纳入项目管理费用予以保障。联建活动开展情况纳入重大项目年度考核评价内容。</w:t>
      </w:r>
    </w:p>
    <w:p w14:paraId="32FFC647">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第五章 </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rPr>
        <w:t>档案管理机制</w:t>
      </w:r>
    </w:p>
    <w:p w14:paraId="047ECA5D">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bCs/>
          <w:sz w:val="32"/>
          <w:szCs w:val="32"/>
        </w:rPr>
        <w:t>第十七条</w:t>
      </w:r>
      <w:r>
        <w:rPr>
          <w:rFonts w:hint="default" w:ascii="Times New Roman" w:hAnsi="Times New Roman" w:eastAsia="仿宋_GB2312" w:cs="Times New Roman"/>
          <w:sz w:val="32"/>
          <w:szCs w:val="32"/>
        </w:rPr>
        <w:t xml:space="preserve"> 实行</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一企一档、一标段一档、一项目部一档</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管理。</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一企一档</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即以施工总承包企业为单位建立综合档案；</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一标段一档</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即以标段为单位分别建档；</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一项目部一档</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即以项目现场管理部为单位建立全过程档案。</w:t>
      </w:r>
    </w:p>
    <w:p w14:paraId="0C8B12C6">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bCs/>
          <w:sz w:val="32"/>
          <w:szCs w:val="32"/>
        </w:rPr>
        <w:t>第十八条</w:t>
      </w:r>
      <w:r>
        <w:rPr>
          <w:rFonts w:hint="default" w:ascii="Times New Roman" w:hAnsi="Times New Roman" w:eastAsia="仿宋_GB2312" w:cs="Times New Roman"/>
          <w:sz w:val="32"/>
          <w:szCs w:val="32"/>
        </w:rPr>
        <w:t xml:space="preserve"> 明确档案管理责任主体。县发展和改革委员会为档案总牵头单位，统筹全县重大项目档案管理，建立总台账，组织检查验收；县档案馆负责业务指导和年度检查；各行业主管部门归集本领域监管检查文书、执法案卷、验收资料；各乡（镇）归集属地协调、矛盾化解、群众工作档案；项目业主单位归集立项审批、招投标、合同、付款、竣工验收等全链条档案；施工单位归集施工组织、质量安全、进度、用工、整改等施工档案；监理单位归集监理日志、旁站记录、验收签证等。</w:t>
      </w:r>
    </w:p>
    <w:p w14:paraId="3196F196">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bCs/>
          <w:sz w:val="32"/>
          <w:szCs w:val="32"/>
        </w:rPr>
        <w:t>第十九条</w:t>
      </w:r>
      <w:r>
        <w:rPr>
          <w:rFonts w:hint="default" w:ascii="Times New Roman" w:hAnsi="Times New Roman" w:eastAsia="仿宋_GB2312" w:cs="Times New Roman"/>
          <w:sz w:val="32"/>
          <w:szCs w:val="32"/>
        </w:rPr>
        <w:t xml:space="preserve"> 档案必备内容。每个标段、每个项目部档案至少包含以下八类：</w:t>
      </w:r>
    </w:p>
    <w:p w14:paraId="6F1C63F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（一）前置手续类：</w:t>
      </w:r>
      <w:r>
        <w:rPr>
          <w:rFonts w:hint="default" w:ascii="Times New Roman" w:hAnsi="Times New Roman" w:eastAsia="仿宋_GB2312" w:cs="Times New Roman"/>
          <w:sz w:val="32"/>
          <w:szCs w:val="32"/>
          <w:lang w:val="en-US" w:eastAsia="zh-CN"/>
        </w:rPr>
        <w:t>项目</w:t>
      </w:r>
      <w:r>
        <w:rPr>
          <w:rFonts w:hint="default" w:ascii="Times New Roman" w:hAnsi="Times New Roman" w:eastAsia="仿宋_GB2312" w:cs="Times New Roman"/>
          <w:sz w:val="32"/>
          <w:szCs w:val="32"/>
        </w:rPr>
        <w:t>立项批复、可研及批复、初设及概算批复、用地预审与选址意见书、规划许可证、施工许可证、环评及批复、水保及批复、用地用草审批等全套合法合规性文件；</w:t>
      </w:r>
    </w:p>
    <w:p w14:paraId="71FB0F3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（二）合同协议类：</w:t>
      </w:r>
      <w:r>
        <w:rPr>
          <w:rFonts w:hint="default" w:ascii="Times New Roman" w:hAnsi="Times New Roman" w:eastAsia="仿宋_GB2312" w:cs="Times New Roman"/>
          <w:sz w:val="32"/>
          <w:szCs w:val="32"/>
        </w:rPr>
        <w:t>施工合同、监理合同、勘察设计合同、劳务分包合同、材料采购合同、地材运输协议、租地协议、补偿协议等；</w:t>
      </w:r>
    </w:p>
    <w:p w14:paraId="5D0448F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（三）项目建设类：</w:t>
      </w:r>
      <w:r>
        <w:rPr>
          <w:rFonts w:hint="default" w:ascii="Times New Roman" w:hAnsi="Times New Roman" w:eastAsia="仿宋_GB2312" w:cs="Times New Roman"/>
          <w:sz w:val="32"/>
          <w:szCs w:val="32"/>
        </w:rPr>
        <w:t>施工组织设计、专项施工方案、施工日志、监理日志、会议纪要、质量检验资料、隐蔽工程验收记录、竣工验收报告、竣工图；</w:t>
      </w:r>
    </w:p>
    <w:p w14:paraId="162954F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（四）用工管理类：</w:t>
      </w:r>
      <w:r>
        <w:rPr>
          <w:rFonts w:hint="default" w:ascii="Times New Roman" w:hAnsi="Times New Roman" w:eastAsia="仿宋_GB2312" w:cs="Times New Roman"/>
          <w:sz w:val="32"/>
          <w:szCs w:val="32"/>
        </w:rPr>
        <w:t>农民工实名制台账、劳动合同、工资发放表（银行代发流水）、工伤保险参保证明、安全教育培训记录、特种作业人员持证情况；</w:t>
      </w:r>
    </w:p>
    <w:p w14:paraId="3B6B060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（五）各方监管类：</w:t>
      </w:r>
      <w:r>
        <w:rPr>
          <w:rFonts w:hint="default" w:ascii="Times New Roman" w:hAnsi="Times New Roman" w:eastAsia="仿宋_GB2312" w:cs="Times New Roman"/>
          <w:sz w:val="32"/>
          <w:szCs w:val="32"/>
        </w:rPr>
        <w:t>领导调研指示批示、行业部门检查记录、整改通知书、停工令、处罚决定书、审计报告、信访交办件；</w:t>
      </w:r>
    </w:p>
    <w:p w14:paraId="6EB8D44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（六）问题整改类：</w:t>
      </w:r>
      <w:r>
        <w:rPr>
          <w:rFonts w:hint="default" w:ascii="Times New Roman" w:hAnsi="Times New Roman" w:eastAsia="仿宋_GB2312" w:cs="Times New Roman"/>
          <w:sz w:val="32"/>
          <w:szCs w:val="32"/>
        </w:rPr>
        <w:t>建立整改台账总表，逐项列明问题来源、发现时间、问题描述、整改措施、责任单位和责任人、整改时限、复查情况、销号确认，每个问题附整改前后对比照片和佐证材料；</w:t>
      </w:r>
    </w:p>
    <w:p w14:paraId="446D322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（七）会商协调类：</w:t>
      </w:r>
      <w:r>
        <w:rPr>
          <w:rFonts w:hint="default" w:ascii="Times New Roman" w:hAnsi="Times New Roman" w:eastAsia="仿宋_GB2312" w:cs="Times New Roman"/>
          <w:sz w:val="32"/>
          <w:szCs w:val="32"/>
        </w:rPr>
        <w:t>会商会议纪要、会商记录、专题协调会议纪要、问题上报单、领导批示件；</w:t>
      </w:r>
    </w:p>
    <w:p w14:paraId="7EA786A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（八）影像资料类：</w:t>
      </w:r>
      <w:r>
        <w:rPr>
          <w:rFonts w:hint="default" w:ascii="Times New Roman" w:hAnsi="Times New Roman" w:eastAsia="仿宋_GB2312" w:cs="Times New Roman"/>
          <w:sz w:val="32"/>
          <w:szCs w:val="32"/>
        </w:rPr>
        <w:t>项目开工前原始地貌照片、重要节点进度照片、隐蔽工程影像、领导调研检查影像、突发事件处置影像、竣工全貌影像，需标注拍摄时间、地点、内容说明。</w:t>
      </w:r>
    </w:p>
    <w:p w14:paraId="2AFC0A11">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bCs/>
          <w:sz w:val="32"/>
          <w:szCs w:val="32"/>
        </w:rPr>
        <w:t>第二十条</w:t>
      </w:r>
      <w:r>
        <w:rPr>
          <w:rFonts w:hint="default" w:ascii="Times New Roman" w:hAnsi="Times New Roman" w:eastAsia="仿宋_GB2312" w:cs="Times New Roman"/>
          <w:sz w:val="32"/>
          <w:szCs w:val="32"/>
        </w:rPr>
        <w:t xml:space="preserve"> 档案日常管理规范。每个责任主体明确1名档案管理员，名单报县保障办备案，人员变动须办理交接手续。各项目部配备专用档案柜或档案室，做到防火、防潮、防盗、防虫、防尘，涉密档案按保密法规单独保管。每套档案建立卷内目录，做到</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一档一目录、一盒一标签</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。档案随项目建设进度同步形成、同步归档，不得事后补造，每月底完成当月新增资料归档。各责任主体同步建立电子档案，按</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企业-标段-项目部-类别</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四级文件夹分类存储。</w:t>
      </w:r>
    </w:p>
    <w:p w14:paraId="2A965D50">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bCs/>
          <w:sz w:val="32"/>
          <w:szCs w:val="32"/>
        </w:rPr>
        <w:t>第二十一条</w:t>
      </w:r>
      <w:r>
        <w:rPr>
          <w:rFonts w:hint="default" w:ascii="Times New Roman" w:hAnsi="Times New Roman" w:eastAsia="仿宋_GB2312" w:cs="Times New Roman"/>
          <w:sz w:val="32"/>
          <w:szCs w:val="32"/>
        </w:rPr>
        <w:t xml:space="preserve"> 档案检查和移交。项目部每月自查1次，企业总部每季度检查1次。县档案局联合县发展和改革委员会每半年开展1次重大项目档案专项检查，对不规范的下发《档案整改通知书》限期整改。项目竣工验收后3个月内，施工单位将全套档案移交项目业主单位，业主单位汇总后分别移交县城建档案馆（或县综合档案馆）和行业主管部门，填写《档案移交清单》双方签字盖章。参建企业撤离察雅县前，须经县保障办和县档案局联合确认档案移交完成，出具《档案移交确认书》方可办理撤场手续。对档案缺失、涂改、伪造、损毁、拒不配合移交的，由县保障办约谈相关责任人限期整改；因档案管理不善导致巡视巡察、督导检查中指出问题的，追究相关单位和人员责任；涉嫌伪造审批文件、编造虚假整改记录的，移交纪检监察机关或司法机关处理。</w:t>
      </w:r>
    </w:p>
    <w:p w14:paraId="3E6791E5">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第六章 </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rPr>
        <w:t>监管执法机制</w:t>
      </w:r>
    </w:p>
    <w:p w14:paraId="7FB919CB">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bCs/>
          <w:sz w:val="32"/>
          <w:szCs w:val="32"/>
        </w:rPr>
        <w:t>第二十二条</w:t>
      </w:r>
      <w:r>
        <w:rPr>
          <w:rFonts w:hint="default" w:ascii="Times New Roman" w:hAnsi="Times New Roman" w:eastAsia="仿宋_GB2312" w:cs="Times New Roman"/>
          <w:sz w:val="32"/>
          <w:szCs w:val="32"/>
        </w:rPr>
        <w:t xml:space="preserve"> 建立递进式</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监管工具箱</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制度。各行业部门对参建企业实施监管时，按照由轻到重、循序渐进的原则，依次采取以下措施，每项措施均须出具书面文书留档备查。</w:t>
      </w:r>
    </w:p>
    <w:p w14:paraId="370007D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第一步提醒告知：</w:t>
      </w:r>
      <w:r>
        <w:rPr>
          <w:rFonts w:hint="default" w:ascii="Times New Roman" w:hAnsi="Times New Roman" w:eastAsia="仿宋_GB2312" w:cs="Times New Roman"/>
          <w:sz w:val="32"/>
          <w:szCs w:val="32"/>
        </w:rPr>
        <w:t>适用首次发现的一般性问题，发放《工作提示函》或《风险告知书》，企业应在5个工作日内反馈整改情况。</w:t>
      </w:r>
    </w:p>
    <w:p w14:paraId="28868A8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第二步约谈警告：</w:t>
      </w:r>
      <w:r>
        <w:rPr>
          <w:rFonts w:hint="default" w:ascii="Times New Roman" w:hAnsi="Times New Roman" w:eastAsia="仿宋_GB2312" w:cs="Times New Roman"/>
          <w:sz w:val="32"/>
          <w:szCs w:val="32"/>
        </w:rPr>
        <w:t>适用提醒告知后未整改或第二次发现同类问题，由行业部门负责人约谈企业项目负责人，制作《约谈记录》双方签字确认，下发《限期整改通知书》，整改时限一般不超过15个工作日，约谈情况报县保障办备案。</w:t>
      </w:r>
    </w:p>
    <w:p w14:paraId="617E688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第三步通报批评：</w:t>
      </w:r>
      <w:r>
        <w:rPr>
          <w:rFonts w:hint="default" w:ascii="Times New Roman" w:hAnsi="Times New Roman" w:eastAsia="仿宋_GB2312" w:cs="Times New Roman"/>
          <w:sz w:val="32"/>
          <w:szCs w:val="32"/>
        </w:rPr>
        <w:t>适用约谈后仍未整改、第三次发现同类问题或问题性质较重，由县保障办制发《通报批评》在全县范围内通报，抄送企业上级公司，列为重点监管对象，暂停享受绿色通道等便利化措施。</w:t>
      </w:r>
    </w:p>
    <w:p w14:paraId="4CE18BB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第四步行政处罚：</w:t>
      </w:r>
      <w:r>
        <w:rPr>
          <w:rFonts w:hint="default" w:ascii="Times New Roman" w:hAnsi="Times New Roman" w:eastAsia="仿宋_GB2312" w:cs="Times New Roman"/>
          <w:sz w:val="32"/>
          <w:szCs w:val="32"/>
        </w:rPr>
        <w:t>适用通报批评后拒不整改或情节严重（存在重大安全隐患、发生质量安全事故、严重破坏生态环境、恶意欠薪等），由有执法权的行业部门依法实施罚款、责令停工整顿、暂扣安全生产许可证等行政处罚，决定书抄送县保障办、上级行业监管部门和企业上级公司。</w:t>
      </w:r>
    </w:p>
    <w:p w14:paraId="04DAA5B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第五步综合惩戒和司法移送：</w:t>
      </w:r>
      <w:r>
        <w:rPr>
          <w:rFonts w:hint="default" w:ascii="Times New Roman" w:hAnsi="Times New Roman" w:eastAsia="仿宋_GB2312" w:cs="Times New Roman"/>
          <w:sz w:val="32"/>
          <w:szCs w:val="32"/>
        </w:rPr>
        <w:t>适用屡教不改、情节恶劣或涉嫌违法犯罪，</w:t>
      </w:r>
      <w:r>
        <w:rPr>
          <w:rFonts w:hint="eastAsia" w:ascii="Times New Roman" w:hAnsi="Times New Roman" w:eastAsia="仿宋_GB2312" w:cs="Times New Roman"/>
          <w:sz w:val="32"/>
          <w:szCs w:val="32"/>
          <w:u w:val="none"/>
          <w:lang w:val="en-US" w:eastAsia="zh-CN"/>
        </w:rPr>
        <w:t>按照</w:t>
      </w:r>
      <w:r>
        <w:rPr>
          <w:rFonts w:hint="default" w:ascii="Times New Roman" w:hAnsi="Times New Roman" w:eastAsia="仿宋_GB2312" w:cs="Times New Roman"/>
          <w:sz w:val="32"/>
          <w:szCs w:val="32"/>
          <w:u w:val="none"/>
        </w:rPr>
        <w:t>《</w:t>
      </w:r>
      <w:r>
        <w:rPr>
          <w:rFonts w:hint="eastAsia" w:ascii="Times New Roman" w:hAnsi="Times New Roman" w:eastAsia="仿宋_GB2312" w:cs="Times New Roman"/>
          <w:sz w:val="32"/>
          <w:szCs w:val="32"/>
          <w:u w:val="none"/>
          <w:lang w:val="en-US" w:eastAsia="zh-CN"/>
        </w:rPr>
        <w:t>企业信息公示暂行条例</w:t>
      </w:r>
      <w:r>
        <w:rPr>
          <w:rFonts w:hint="default" w:ascii="Times New Roman" w:hAnsi="Times New Roman" w:eastAsia="仿宋_GB2312" w:cs="Times New Roman"/>
          <w:sz w:val="32"/>
          <w:szCs w:val="32"/>
          <w:u w:val="none"/>
        </w:rPr>
        <w:t>》《</w:t>
      </w:r>
      <w:r>
        <w:rPr>
          <w:rFonts w:hint="eastAsia" w:ascii="Times New Roman" w:hAnsi="Times New Roman" w:eastAsia="仿宋_GB2312" w:cs="Times New Roman"/>
          <w:sz w:val="32"/>
          <w:szCs w:val="32"/>
          <w:u w:val="none"/>
          <w:lang w:val="en-US" w:eastAsia="zh-CN"/>
        </w:rPr>
        <w:t>建筑市场信用管理暂行办法</w:t>
      </w:r>
      <w:r>
        <w:rPr>
          <w:rFonts w:hint="default" w:ascii="Times New Roman" w:hAnsi="Times New Roman" w:eastAsia="仿宋_GB2312" w:cs="Times New Roman"/>
          <w:sz w:val="32"/>
          <w:szCs w:val="32"/>
          <w:u w:val="none"/>
        </w:rPr>
        <w:t>》</w:t>
      </w:r>
      <w:r>
        <w:rPr>
          <w:rFonts w:hint="eastAsia" w:ascii="Times New Roman" w:hAnsi="Times New Roman" w:eastAsia="仿宋_GB2312" w:cs="Times New Roman"/>
          <w:sz w:val="32"/>
          <w:szCs w:val="32"/>
          <w:u w:val="none"/>
          <w:lang w:val="en-US" w:eastAsia="zh-CN"/>
        </w:rPr>
        <w:t>等法律法规依法处理，</w:t>
      </w:r>
      <w:r>
        <w:rPr>
          <w:rFonts w:hint="default" w:ascii="Times New Roman" w:hAnsi="Times New Roman" w:eastAsia="仿宋_GB2312" w:cs="Times New Roman"/>
          <w:sz w:val="32"/>
          <w:szCs w:val="32"/>
        </w:rPr>
        <w:t>涉嫌犯罪的移送公安机关立案侦查。对发生安全事故、重大环境污染事件、群体性事件等紧急重大违法行为，可直接跳至第四步或第五步，不必按序递进。</w:t>
      </w:r>
    </w:p>
    <w:p w14:paraId="4EC5B03E">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bCs/>
          <w:sz w:val="32"/>
          <w:szCs w:val="32"/>
        </w:rPr>
        <w:t>第二十三条</w:t>
      </w:r>
      <w:r>
        <w:rPr>
          <w:rFonts w:hint="default" w:ascii="Times New Roman" w:hAnsi="Times New Roman" w:eastAsia="仿宋_GB2312" w:cs="Times New Roman"/>
          <w:sz w:val="32"/>
          <w:szCs w:val="32"/>
        </w:rPr>
        <w:t xml:space="preserve"> 实行监管对象分类分级管理。县保障办组织各行业部门，根据项目风险（高边坡/深基坑/隧道/桥梁等高风险工程）、企业信用（历史记录、既往奖惩）、管理状况（安全质量体系、关键岗位人员到岗率）、群众反映（信访投诉量、劳资纠纷频次）等因素综合评定为A级（低风险）</w:t>
      </w:r>
      <w:r>
        <w:rPr>
          <w:rFonts w:hint="eastAsia" w:ascii="Times New Roman" w:hAnsi="Times New Roman" w:eastAsia="仿宋_GB2312" w:cs="Times New Roman"/>
          <w:sz w:val="32"/>
          <w:szCs w:val="32"/>
          <w:lang w:eastAsia="zh-CN"/>
        </w:rPr>
        <w:t>：项目工程风险可控，企业信用良好无不良惩戒记录，安全质量管理制度健全落地到位，关键岗位人员履职到岗规范，信访投诉、劳资纠纷问题极少；</w:t>
      </w:r>
      <w:r>
        <w:rPr>
          <w:rFonts w:hint="default" w:ascii="Times New Roman" w:hAnsi="Times New Roman" w:eastAsia="仿宋_GB2312" w:cs="Times New Roman"/>
          <w:sz w:val="32"/>
          <w:szCs w:val="32"/>
        </w:rPr>
        <w:t>B级（一般风险）</w:t>
      </w:r>
      <w:r>
        <w:rPr>
          <w:rFonts w:hint="eastAsia" w:ascii="Times New Roman" w:hAnsi="Times New Roman" w:eastAsia="仿宋_GB2312" w:cs="Times New Roman"/>
          <w:sz w:val="32"/>
          <w:szCs w:val="32"/>
          <w:lang w:eastAsia="zh-CN"/>
        </w:rPr>
        <w:t>：项目存在一定工程风险隐患，企业信用基本合规、偶有轻微不良记录，安全质量管理体系基本建立，人员到岗总体达标，零星出现少量信访或劳资纠纷问题；</w:t>
      </w:r>
      <w:r>
        <w:rPr>
          <w:rFonts w:hint="default" w:ascii="Times New Roman" w:hAnsi="Times New Roman" w:eastAsia="仿宋_GB2312" w:cs="Times New Roman"/>
          <w:sz w:val="32"/>
          <w:szCs w:val="32"/>
        </w:rPr>
        <w:t>C级（高风险）</w:t>
      </w:r>
      <w:r>
        <w:rPr>
          <w:rFonts w:hint="eastAsia" w:ascii="Times New Roman" w:hAnsi="Times New Roman" w:eastAsia="仿宋_GB2312" w:cs="Times New Roman"/>
          <w:sz w:val="32"/>
          <w:szCs w:val="32"/>
          <w:lang w:eastAsia="zh-CN"/>
        </w:rPr>
        <w:t>：项目属于高边坡、深基坑、隧道、桥梁等高风险工程，企业存在失信惩戒、过往违规处罚记录，安全质量体系运转失效，关键岗位人员脱岗缺位问题突出，信访投诉、劳资纠纷多发频发</w:t>
      </w:r>
      <w:r>
        <w:rPr>
          <w:rFonts w:hint="eastAsia" w:ascii="Times New Roman" w:hAnsi="Times New Roman" w:eastAsia="仿宋_GB2312" w:cs="Times New Roman"/>
          <w:sz w:val="32"/>
          <w:szCs w:val="32"/>
          <w:lang w:val="en-US" w:eastAsia="zh-CN"/>
        </w:rPr>
        <w:t>这</w:t>
      </w:r>
      <w:r>
        <w:rPr>
          <w:rFonts w:hint="default" w:ascii="Times New Roman" w:hAnsi="Times New Roman" w:eastAsia="仿宋_GB2312" w:cs="Times New Roman"/>
          <w:sz w:val="32"/>
          <w:szCs w:val="32"/>
        </w:rPr>
        <w:t>三个等级。A级每季度综合检查不少于1次，以服务指导为主；B级每2个月不少于1次，常态化监管；C级每月不少于1次，必要时驻点督导。每半年评定一次等级，C级连续3个月无新问题且整改到位的可调整为B级，B级出现重大问题的随时调整为C级，A级被通报批评或行政处罚的直接降为C级。</w:t>
      </w:r>
    </w:p>
    <w:p w14:paraId="3263A9E7">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bCs/>
          <w:sz w:val="32"/>
          <w:szCs w:val="32"/>
        </w:rPr>
        <w:t>第二十四条</w:t>
      </w:r>
      <w:r>
        <w:rPr>
          <w:rFonts w:hint="default" w:ascii="Times New Roman" w:hAnsi="Times New Roman" w:eastAsia="仿宋_GB2312" w:cs="Times New Roman"/>
          <w:sz w:val="32"/>
          <w:szCs w:val="32"/>
        </w:rPr>
        <w:t xml:space="preserve"> 推行</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三带三查</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工作法。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三带</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：带法律法规去，现场向企业明确指出违反哪一条哪一款及法定后果；带政策文件去，现场宣讲告知政策底线和红线；带典型案例去，以案说法让企业知敬畏。</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三查</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：查手续合规，逐项核验各类审批许可是否齐全有效；查现场管理，检查安全防护、质量控制、环保措施、用工管理等是否符合规定；查整改落实，重点检查此前发现问题是否真正整改到位。</w:t>
      </w:r>
    </w:p>
    <w:p w14:paraId="6C0EFF1B">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bCs/>
          <w:sz w:val="32"/>
          <w:szCs w:val="32"/>
        </w:rPr>
        <w:t>第二十五条</w:t>
      </w:r>
      <w:r>
        <w:rPr>
          <w:rFonts w:hint="default" w:ascii="Times New Roman" w:hAnsi="Times New Roman" w:eastAsia="仿宋_GB2312" w:cs="Times New Roman"/>
          <w:sz w:val="32"/>
          <w:szCs w:val="32"/>
        </w:rPr>
        <w:t xml:space="preserve"> 加强部门协同联动和联合监管。各行业部门在每次检查结束后3个工作日内，将检查记录、发现问题、处理意见等录入县保障办统一监管台账。县保障办每月汇总形成《察雅县重大项目监管月报》报领导小组并发各成员单位。县保障办统一制定年度和月度检查计划，对同一企业同一时段能合并的检查事项一律合并实施，一个项目标段每月接受各类检查不超过3次，法定专项检查不受频次限制</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出现紧急情况的专项检查除外</w:t>
      </w:r>
      <w:r>
        <w:rPr>
          <w:rFonts w:hint="default" w:ascii="Times New Roman" w:hAnsi="Times New Roman" w:eastAsia="仿宋_GB2312" w:cs="Times New Roman"/>
          <w:sz w:val="32"/>
          <w:szCs w:val="32"/>
        </w:rPr>
        <w:t>。行业部门发现不属于本部门职责范围的问题线索，应在2个工作日内填写《问题线索移交单》移交有管辖权的部门并抄送县保障办；涉及两个以上部门职责的案件，由县保障办指定主办部门联合办理；涉嫌犯罪的严格按行刑衔接规定及时移送公安机关，不得以罚代刑。</w:t>
      </w:r>
    </w:p>
    <w:p w14:paraId="313164EE">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bCs/>
          <w:sz w:val="32"/>
          <w:szCs w:val="32"/>
        </w:rPr>
        <w:t>第二十六条</w:t>
      </w:r>
      <w:r>
        <w:rPr>
          <w:rFonts w:hint="default" w:ascii="Times New Roman" w:hAnsi="Times New Roman" w:eastAsia="仿宋_GB2312" w:cs="Times New Roman"/>
          <w:sz w:val="32"/>
          <w:szCs w:val="32"/>
        </w:rPr>
        <w:t xml:space="preserve"> 压实行业部门监管责任。各行业部门根据</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三管三必须</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原则，制定本领域重大项目监管责任清单，明确监管对象、检查标准、责任领导和具体责任人，报县保障办备案。各行业部门监管主责如下：县发改委负责立项审批执行、投资计划执行、招投标监管；县住建局负责房建市政工程质量安全、建筑市场、施工许可；县交通运输局负责交通工程质量安全、施工便道；县水利局负责水利水电工程质量安全、水土保持、防汛安全；县自然资源局负责用地合规性、土地征收、临时用地复垦；市生态环境局察雅县分局负责</w:t>
      </w:r>
      <w:r>
        <w:rPr>
          <w:rFonts w:hint="eastAsia" w:ascii="Times New Roman" w:hAnsi="Times New Roman" w:eastAsia="仿宋_GB2312" w:cs="Times New Roman"/>
          <w:sz w:val="32"/>
          <w:szCs w:val="32"/>
          <w:lang w:val="en-US" w:eastAsia="zh-CN"/>
        </w:rPr>
        <w:t>监督</w:t>
      </w:r>
      <w:r>
        <w:rPr>
          <w:rFonts w:hint="default" w:ascii="Times New Roman" w:hAnsi="Times New Roman" w:eastAsia="仿宋_GB2312" w:cs="Times New Roman"/>
          <w:sz w:val="32"/>
          <w:szCs w:val="32"/>
        </w:rPr>
        <w:t>环评及</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三同时</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执行、</w:t>
      </w:r>
      <w:r>
        <w:rPr>
          <w:rFonts w:hint="eastAsia" w:ascii="Times New Roman" w:hAnsi="Times New Roman" w:eastAsia="仿宋_GB2312" w:cs="Times New Roman"/>
          <w:sz w:val="32"/>
          <w:szCs w:val="32"/>
          <w:lang w:val="en-US" w:eastAsia="zh-CN"/>
        </w:rPr>
        <w:t>开展</w:t>
      </w:r>
      <w:r>
        <w:rPr>
          <w:rFonts w:hint="default" w:ascii="Times New Roman" w:hAnsi="Times New Roman" w:eastAsia="仿宋_GB2312" w:cs="Times New Roman"/>
          <w:sz w:val="32"/>
          <w:szCs w:val="32"/>
        </w:rPr>
        <w:t>污染防治</w:t>
      </w:r>
      <w:r>
        <w:rPr>
          <w:rFonts w:hint="eastAsia" w:ascii="Times New Roman" w:hAnsi="Times New Roman" w:eastAsia="仿宋_GB2312" w:cs="Times New Roman"/>
          <w:sz w:val="32"/>
          <w:szCs w:val="32"/>
          <w:lang w:val="en-US" w:eastAsia="zh-CN"/>
        </w:rPr>
        <w:t>和</w:t>
      </w:r>
      <w:r>
        <w:rPr>
          <w:rFonts w:hint="default" w:ascii="Times New Roman" w:hAnsi="Times New Roman" w:eastAsia="仿宋_GB2312" w:cs="Times New Roman"/>
          <w:sz w:val="32"/>
          <w:szCs w:val="32"/>
        </w:rPr>
        <w:t>生态保护红线</w:t>
      </w:r>
      <w:r>
        <w:rPr>
          <w:rFonts w:hint="eastAsia" w:ascii="Times New Roman" w:hAnsi="Times New Roman" w:eastAsia="仿宋_GB2312" w:cs="Times New Roman"/>
          <w:sz w:val="32"/>
          <w:szCs w:val="32"/>
          <w:lang w:val="en-US" w:eastAsia="zh-CN"/>
        </w:rPr>
        <w:t>管控</w:t>
      </w:r>
      <w:r>
        <w:rPr>
          <w:rFonts w:hint="default" w:ascii="Times New Roman" w:hAnsi="Times New Roman" w:eastAsia="仿宋_GB2312" w:cs="Times New Roman"/>
          <w:sz w:val="32"/>
          <w:szCs w:val="32"/>
        </w:rPr>
        <w:t>；县林草局负责林地草地征占用审批执行、森林草原防火；县应急管理局负责安全生产综合监管、事故调查处理；县人社局负责劳动合同、农民工工资支付保障、劳动监察；县公安局负责治安管理、民爆物品监管、流动人口管理；县市场监管局负责特种设备安全、工地食堂食品安全；县消防救援大队负责施工现场及营地消防安全检查。其他行业部门按职责认真履行监管责任。各行业部门每次检查须规范填写《监管检查记录单》，由企业现场负责人签字确认，记录单一式两份，一份交企业，一份存档并抄送县保障办。对因监管缺位、失职渎职导致发生安全事故、群体性事件或造成重大经济损失的，倒查行业部门监管责任，依规依纪追究责任。行业部门履行监管责任情况纳入年度综合考核。</w:t>
      </w:r>
    </w:p>
    <w:p w14:paraId="012729D2">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第七章 附则</w:t>
      </w:r>
    </w:p>
    <w:p w14:paraId="6D20AADD">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楷体_GB2312" w:cs="Times New Roman"/>
          <w:b/>
          <w:bCs/>
          <w:sz w:val="32"/>
          <w:szCs w:val="32"/>
        </w:rPr>
        <w:t>第二十七条</w:t>
      </w:r>
      <w:r>
        <w:rPr>
          <w:rFonts w:hint="default" w:ascii="Times New Roman" w:hAnsi="Times New Roman" w:eastAsia="仿宋_GB2312" w:cs="Times New Roman"/>
          <w:sz w:val="32"/>
          <w:szCs w:val="32"/>
        </w:rPr>
        <w:t xml:space="preserve"> 本机制自印发之日起施行，</w:t>
      </w:r>
      <w:r>
        <w:rPr>
          <w:rFonts w:hint="eastAsia" w:ascii="Times New Roman" w:hAnsi="Times New Roman" w:eastAsia="仿宋_GB2312" w:cs="Times New Roman"/>
          <w:sz w:val="32"/>
          <w:szCs w:val="32"/>
          <w:lang w:val="en-US" w:eastAsia="zh-CN"/>
        </w:rPr>
        <w:t>有效期3年。</w:t>
      </w:r>
    </w:p>
    <w:p w14:paraId="18909394">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bCs/>
          <w:sz w:val="32"/>
          <w:szCs w:val="32"/>
        </w:rPr>
        <w:t>第二十</w:t>
      </w:r>
      <w:r>
        <w:rPr>
          <w:rFonts w:hint="eastAsia" w:ascii="Times New Roman" w:hAnsi="Times New Roman" w:eastAsia="楷体_GB2312" w:cs="Times New Roman"/>
          <w:b/>
          <w:bCs/>
          <w:sz w:val="32"/>
          <w:szCs w:val="32"/>
          <w:lang w:val="en-US" w:eastAsia="zh-CN"/>
        </w:rPr>
        <w:t>八</w:t>
      </w:r>
      <w:r>
        <w:rPr>
          <w:rFonts w:hint="default" w:ascii="Times New Roman" w:hAnsi="Times New Roman" w:eastAsia="楷体_GB2312" w:cs="Times New Roman"/>
          <w:b/>
          <w:bCs/>
          <w:sz w:val="32"/>
          <w:szCs w:val="32"/>
        </w:rPr>
        <w:t>条</w:t>
      </w:r>
      <w:r>
        <w:rPr>
          <w:rFonts w:hint="default" w:ascii="Times New Roman" w:hAnsi="Times New Roman" w:eastAsia="仿宋_GB2312" w:cs="Times New Roman"/>
          <w:sz w:val="32"/>
          <w:szCs w:val="32"/>
        </w:rPr>
        <w:t xml:space="preserve"> 本</w:t>
      </w:r>
      <w:r>
        <w:rPr>
          <w:rFonts w:hint="eastAsia" w:ascii="Times New Roman" w:hAnsi="Times New Roman" w:eastAsia="仿宋_GB2312" w:cs="Times New Roman"/>
          <w:sz w:val="32"/>
          <w:szCs w:val="32"/>
          <w:lang w:val="en-US" w:eastAsia="zh-CN"/>
        </w:rPr>
        <w:t>机制</w:t>
      </w:r>
      <w:r>
        <w:rPr>
          <w:rFonts w:hint="default" w:ascii="Times New Roman" w:hAnsi="Times New Roman" w:eastAsia="仿宋_GB2312" w:cs="Times New Roman"/>
          <w:sz w:val="32"/>
          <w:szCs w:val="32"/>
        </w:rPr>
        <w:t>由县发展和改革委员会负责解释，与国家、自治区、市新出台政策不一致的，按上级规定执行。</w:t>
      </w:r>
    </w:p>
    <w:p w14:paraId="219CE75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D340A">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496958">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1496958">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97F7D5">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D2576A"/>
    <w:rsid w:val="00F50D9B"/>
    <w:rsid w:val="13196AA8"/>
    <w:rsid w:val="255B25C9"/>
    <w:rsid w:val="2A1F1F26"/>
    <w:rsid w:val="34BA30E1"/>
    <w:rsid w:val="39BD0203"/>
    <w:rsid w:val="3DE50FCC"/>
    <w:rsid w:val="3F8C3BC1"/>
    <w:rsid w:val="406323E3"/>
    <w:rsid w:val="44AA7F5F"/>
    <w:rsid w:val="48EA69B4"/>
    <w:rsid w:val="4B9D5B96"/>
    <w:rsid w:val="507952BC"/>
    <w:rsid w:val="5D051EFB"/>
    <w:rsid w:val="69F86FC0"/>
    <w:rsid w:val="6AD2576A"/>
    <w:rsid w:val="763A0AB4"/>
    <w:rsid w:val="7A6E4CE9"/>
    <w:rsid w:val="7CA103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7770</Words>
  <Characters>7788</Characters>
  <Lines>0</Lines>
  <Paragraphs>0</Paragraphs>
  <TotalTime>16</TotalTime>
  <ScaleCrop>false</ScaleCrop>
  <LinksUpToDate>false</LinksUpToDate>
  <CharactersWithSpaces>7829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2026-09-04T03:39:00Z</dcterms:created>
  <dc:creator>偏是无情偏解语</dc:creator>
  <cp:lastModifiedBy>WPS_1639125859</cp:lastModifiedBy>
  <cp:lastPrinted>2026-09-07T08:22:00Z</cp:lastPrinted>
  <dcterms:modified xsi:type="dcterms:W3CDTF">2026-09-09T09:43:48Z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99DFB2E63C9B42F684798EBA815BECC8_11</vt:lpwstr>
  </property>
  <property fmtid="{D5CDD505-2E9C-101B-9397-08002B2CF9AE}" pid="4" name="KSOTemplateDocerSaveRecord">
    <vt:lpwstr>eyJoZGlkIjoiNmE3NDA5OGZjM2MzMGIzYWZlZDM5NTYzNmQ4OWExYjgiLCJ1c2VySWQiOiIxMzAzODQ2MDI2In0=</vt:lpwstr>
  </property>
</Properties>
</file>