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3" w:rightChars="11"/>
        <w:rPr>
          <w:rFonts w:hint="eastAsia" w:ascii="黑体" w:hAnsi="黑体" w:eastAsia="黑体"/>
          <w:sz w:val="32"/>
          <w:szCs w:val="32"/>
        </w:rPr>
      </w:pPr>
      <w:r>
        <w:rPr>
          <w:rFonts w:hint="eastAsia" w:ascii="黑体" w:hAnsi="黑体" w:eastAsia="黑体"/>
          <w:sz w:val="32"/>
          <w:szCs w:val="32"/>
        </w:rPr>
        <w:t>附件</w:t>
      </w:r>
      <w:r>
        <w:rPr>
          <w:rFonts w:hint="eastAsia" w:ascii="黑体" w:hAnsi="黑体" w:eastAsia="黑体"/>
          <w:sz w:val="32"/>
          <w:szCs w:val="32"/>
          <w:lang w:val="en-US" w:eastAsia="zh-CN"/>
        </w:rPr>
        <w:t>4</w:t>
      </w:r>
      <w:r>
        <w:rPr>
          <w:rFonts w:hint="eastAsia" w:ascii="黑体" w:hAnsi="黑体" w:eastAsia="黑体"/>
          <w:sz w:val="32"/>
          <w:szCs w:val="32"/>
        </w:rPr>
        <w:t>：</w:t>
      </w:r>
    </w:p>
    <w:p>
      <w:pPr>
        <w:pStyle w:val="2"/>
        <w:rPr>
          <w:rFonts w:hint="eastAsia"/>
        </w:rPr>
      </w:pPr>
    </w:p>
    <w:p>
      <w:pPr>
        <w:spacing w:before="51" w:after="49"/>
        <w:jc w:val="center"/>
        <w:rPr>
          <w:sz w:val="2"/>
          <w:szCs w:val="2"/>
        </w:rPr>
      </w:pPr>
      <w:r>
        <w:rPr>
          <w:rFonts w:hint="eastAsia" w:asciiTheme="minorEastAsia" w:hAnsiTheme="minorEastAsia"/>
          <w:b/>
          <w:bCs/>
          <w:color w:val="1C1A21"/>
          <w:sz w:val="44"/>
          <w:szCs w:val="40"/>
          <w:lang w:val="en-US" w:eastAsia="zh-CN"/>
        </w:rPr>
        <w:t>察雅</w:t>
      </w:r>
      <w:r>
        <w:rPr>
          <w:rFonts w:hint="eastAsia" w:asciiTheme="minorEastAsia" w:hAnsiTheme="minorEastAsia"/>
          <w:b/>
          <w:bCs/>
          <w:color w:val="1C1A21"/>
          <w:sz w:val="44"/>
          <w:szCs w:val="40"/>
        </w:rPr>
        <w:t>县</w:t>
      </w:r>
      <w:r>
        <w:rPr>
          <w:rFonts w:hint="eastAsia" w:asciiTheme="minorEastAsia" w:hAnsiTheme="minorEastAsia"/>
          <w:b/>
          <w:bCs/>
          <w:color w:val="1C1A21"/>
          <w:sz w:val="44"/>
          <w:szCs w:val="40"/>
          <w:lang w:val="en-US" w:eastAsia="zh-CN"/>
        </w:rPr>
        <w:t>农牧民施工队年度信用考评打分表</w:t>
      </w:r>
    </w:p>
    <w:tbl>
      <w:tblPr>
        <w:tblStyle w:val="3"/>
        <w:tblW w:w="1110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43"/>
        <w:gridCol w:w="490"/>
        <w:gridCol w:w="644"/>
        <w:gridCol w:w="5245"/>
        <w:gridCol w:w="1218"/>
        <w:gridCol w:w="1333"/>
        <w:gridCol w:w="13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rHeight w:val="454" w:hRule="atLeast"/>
          <w:tblHeader/>
          <w:jc w:val="center"/>
        </w:trPr>
        <w:tc>
          <w:tcPr>
            <w:tcW w:w="843" w:type="dxa"/>
            <w:vAlign w:val="center"/>
          </w:tcPr>
          <w:p>
            <w:pPr>
              <w:pStyle w:val="5"/>
              <w:ind w:left="115"/>
              <w:rPr>
                <w:rFonts w:ascii="黑体" w:hAnsi="黑体" w:eastAsia="黑体"/>
              </w:rPr>
            </w:pPr>
            <w:r>
              <w:rPr>
                <w:rFonts w:hint="eastAsia" w:ascii="黑体" w:hAnsi="黑体" w:eastAsia="黑体"/>
                <w:color w:val="1C1A21"/>
                <w:lang w:eastAsia="zh-CN"/>
              </w:rPr>
              <w:t>类别</w:t>
            </w:r>
          </w:p>
        </w:tc>
        <w:tc>
          <w:tcPr>
            <w:tcW w:w="1134" w:type="dxa"/>
            <w:gridSpan w:val="2"/>
            <w:vAlign w:val="center"/>
          </w:tcPr>
          <w:p>
            <w:pPr>
              <w:pStyle w:val="5"/>
              <w:ind w:left="98"/>
              <w:jc w:val="center"/>
              <w:rPr>
                <w:rFonts w:ascii="黑体" w:hAnsi="黑体" w:eastAsia="黑体"/>
              </w:rPr>
            </w:pPr>
            <w:r>
              <w:rPr>
                <w:rFonts w:hint="eastAsia" w:ascii="黑体" w:hAnsi="黑体" w:eastAsia="黑体"/>
                <w:color w:val="1C1A21"/>
                <w:w w:val="105"/>
                <w:lang w:eastAsia="zh-CN"/>
              </w:rPr>
              <w:t>项目</w:t>
            </w:r>
          </w:p>
        </w:tc>
        <w:tc>
          <w:tcPr>
            <w:tcW w:w="5245" w:type="dxa"/>
            <w:vAlign w:val="center"/>
          </w:tcPr>
          <w:p>
            <w:pPr>
              <w:pStyle w:val="5"/>
              <w:ind w:left="2146" w:right="2068"/>
              <w:jc w:val="center"/>
              <w:rPr>
                <w:rFonts w:ascii="黑体" w:hAnsi="黑体" w:eastAsia="黑体"/>
              </w:rPr>
            </w:pPr>
            <w:r>
              <w:rPr>
                <w:rFonts w:hint="eastAsia" w:ascii="黑体" w:hAnsi="黑体" w:eastAsia="黑体"/>
                <w:color w:val="1C1A21"/>
                <w:w w:val="105"/>
                <w:lang w:eastAsia="zh-CN"/>
              </w:rPr>
              <w:t>信用信息</w:t>
            </w:r>
          </w:p>
        </w:tc>
        <w:tc>
          <w:tcPr>
            <w:tcW w:w="1218" w:type="dxa"/>
            <w:vAlign w:val="center"/>
          </w:tcPr>
          <w:p>
            <w:pPr>
              <w:pStyle w:val="5"/>
              <w:ind w:left="65"/>
              <w:jc w:val="center"/>
              <w:rPr>
                <w:rFonts w:ascii="黑体" w:hAnsi="黑体" w:eastAsia="黑体"/>
              </w:rPr>
            </w:pPr>
            <w:r>
              <w:rPr>
                <w:rFonts w:hint="eastAsia" w:ascii="黑体" w:hAnsi="黑体" w:eastAsia="黑体"/>
                <w:color w:val="1C1A21"/>
                <w:w w:val="105"/>
                <w:lang w:eastAsia="zh-CN"/>
              </w:rPr>
              <w:t>计分标准</w:t>
            </w:r>
          </w:p>
        </w:tc>
        <w:tc>
          <w:tcPr>
            <w:tcW w:w="1333" w:type="dxa"/>
            <w:vAlign w:val="center"/>
          </w:tcPr>
          <w:p>
            <w:pPr>
              <w:pStyle w:val="5"/>
              <w:ind w:left="65"/>
              <w:jc w:val="center"/>
              <w:rPr>
                <w:rFonts w:hint="default" w:ascii="黑体" w:hAnsi="黑体" w:eastAsia="黑体"/>
                <w:color w:val="1C1A21"/>
                <w:w w:val="105"/>
                <w:lang w:val="en-US" w:eastAsia="zh-CN"/>
              </w:rPr>
            </w:pPr>
            <w:r>
              <w:rPr>
                <w:rFonts w:hint="eastAsia" w:ascii="黑体" w:hAnsi="黑体" w:eastAsia="黑体"/>
                <w:color w:val="1C1A21"/>
                <w:w w:val="105"/>
                <w:lang w:val="en-US" w:eastAsia="zh-CN"/>
              </w:rPr>
              <w:t>得分</w:t>
            </w:r>
          </w:p>
        </w:tc>
        <w:tc>
          <w:tcPr>
            <w:tcW w:w="1333" w:type="dxa"/>
            <w:vAlign w:val="center"/>
          </w:tcPr>
          <w:p>
            <w:pPr>
              <w:pStyle w:val="5"/>
              <w:ind w:left="198"/>
              <w:rPr>
                <w:rFonts w:ascii="黑体" w:hAnsi="黑体" w:eastAsia="黑体"/>
              </w:rPr>
            </w:pPr>
            <w:r>
              <w:rPr>
                <w:rFonts w:hint="eastAsia" w:ascii="黑体" w:hAnsi="黑体" w:eastAsia="黑体"/>
                <w:color w:val="1C1A21"/>
                <w:w w:val="105"/>
                <w:lang w:eastAsia="zh-CN"/>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Align w:val="center"/>
          </w:tcPr>
          <w:p>
            <w:pPr>
              <w:pStyle w:val="5"/>
              <w:adjustRightInd w:val="0"/>
              <w:snapToGrid w:val="0"/>
              <w:jc w:val="center"/>
              <w:rPr>
                <w:rFonts w:hint="default" w:ascii="仿宋" w:hAnsi="仿宋" w:eastAsia="仿宋"/>
                <w:sz w:val="24"/>
                <w:szCs w:val="24"/>
                <w:lang w:val="en-US" w:eastAsia="zh-CN"/>
              </w:rPr>
            </w:pPr>
            <w:r>
              <w:rPr>
                <w:rFonts w:hint="eastAsia" w:ascii="仿宋" w:hAnsi="仿宋" w:eastAsia="仿宋"/>
                <w:color w:val="1C1A21"/>
                <w:spacing w:val="-8"/>
                <w:sz w:val="24"/>
                <w:szCs w:val="24"/>
                <w:lang w:val="en-US" w:eastAsia="zh-CN"/>
              </w:rPr>
              <w:t>基础分</w:t>
            </w:r>
          </w:p>
        </w:tc>
        <w:tc>
          <w:tcPr>
            <w:tcW w:w="1134" w:type="dxa"/>
            <w:gridSpan w:val="2"/>
            <w:vAlign w:val="center"/>
          </w:tcPr>
          <w:p>
            <w:pPr>
              <w:pStyle w:val="5"/>
              <w:adjustRightInd w:val="0"/>
              <w:snapToGrid w:val="0"/>
              <w:jc w:val="center"/>
              <w:rPr>
                <w:rFonts w:hint="default" w:ascii="仿宋" w:hAnsi="仿宋" w:eastAsia="仿宋"/>
                <w:sz w:val="24"/>
                <w:szCs w:val="24"/>
                <w:lang w:val="en-US"/>
              </w:rPr>
            </w:pPr>
            <w:r>
              <w:rPr>
                <w:rFonts w:hint="eastAsia" w:ascii="仿宋" w:hAnsi="仿宋" w:eastAsia="仿宋"/>
                <w:color w:val="1C1A21"/>
                <w:spacing w:val="-8"/>
                <w:sz w:val="24"/>
                <w:szCs w:val="24"/>
                <w:lang w:val="en-US" w:eastAsia="zh-CN"/>
              </w:rPr>
              <w:t>项目承揽</w:t>
            </w:r>
          </w:p>
        </w:tc>
        <w:tc>
          <w:tcPr>
            <w:tcW w:w="5245" w:type="dxa"/>
            <w:vAlign w:val="center"/>
          </w:tcPr>
          <w:p>
            <w:pPr>
              <w:pStyle w:val="5"/>
              <w:adjustRightInd w:val="0"/>
              <w:snapToGrid w:val="0"/>
              <w:rPr>
                <w:rFonts w:hint="eastAsia" w:ascii="仿宋" w:hAnsi="仿宋" w:eastAsia="仿宋"/>
                <w:color w:val="2A2A2F"/>
                <w:w w:val="110"/>
                <w:sz w:val="24"/>
                <w:szCs w:val="24"/>
                <w:lang w:eastAsia="zh-CN"/>
              </w:rPr>
            </w:pPr>
            <w:r>
              <w:rPr>
                <w:rFonts w:hint="eastAsia" w:ascii="仿宋" w:hAnsi="仿宋" w:eastAsia="仿宋"/>
                <w:color w:val="2A2A2F"/>
                <w:w w:val="110"/>
                <w:sz w:val="24"/>
                <w:szCs w:val="24"/>
                <w:lang w:eastAsia="zh-CN"/>
              </w:rPr>
              <w:t>当年新入库、资质齐全有效，基础分100分；连续2年无承揽项目：基础分降至80分；连续3年无承揽项目：基础分降至60分，启动资质核查清退程序</w:t>
            </w:r>
          </w:p>
        </w:tc>
        <w:tc>
          <w:tcPr>
            <w:tcW w:w="1218" w:type="dxa"/>
            <w:vAlign w:val="center"/>
          </w:tcPr>
          <w:p>
            <w:pPr>
              <w:pStyle w:val="5"/>
              <w:adjustRightInd w:val="0"/>
              <w:snapToGrid w:val="0"/>
              <w:rPr>
                <w:rFonts w:hint="eastAsia" w:ascii="仿宋" w:hAnsi="仿宋" w:eastAsia="仿宋"/>
                <w:color w:val="2A2A2F"/>
                <w:w w:val="110"/>
                <w:sz w:val="24"/>
                <w:szCs w:val="24"/>
                <w:lang w:eastAsia="zh-CN"/>
              </w:rPr>
            </w:pPr>
            <w:r>
              <w:rPr>
                <w:rFonts w:hint="eastAsia" w:ascii="仿宋" w:hAnsi="仿宋" w:eastAsia="仿宋"/>
                <w:color w:val="2A2A2F"/>
                <w:w w:val="110"/>
                <w:sz w:val="24"/>
                <w:szCs w:val="24"/>
                <w:lang w:eastAsia="zh-CN"/>
              </w:rPr>
              <w:t>100/80/60</w:t>
            </w:r>
          </w:p>
        </w:tc>
        <w:tc>
          <w:tcPr>
            <w:tcW w:w="1333" w:type="dxa"/>
            <w:vAlign w:val="center"/>
          </w:tcPr>
          <w:p>
            <w:pPr>
              <w:pStyle w:val="5"/>
              <w:ind w:right="128"/>
              <w:rPr>
                <w:rFonts w:ascii="仿宋" w:hAnsi="仿宋" w:eastAsia="仿宋"/>
                <w:sz w:val="24"/>
                <w:szCs w:val="24"/>
              </w:rPr>
            </w:pPr>
          </w:p>
        </w:tc>
        <w:tc>
          <w:tcPr>
            <w:tcW w:w="1333" w:type="dxa"/>
            <w:vAlign w:val="center"/>
          </w:tcPr>
          <w:p>
            <w:pPr>
              <w:pStyle w:val="5"/>
              <w:ind w:right="128"/>
              <w:rPr>
                <w:rFonts w:ascii="仿宋" w:hAnsi="仿宋" w:eastAsia="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restart"/>
            <w:vAlign w:val="center"/>
          </w:tcPr>
          <w:p>
            <w:pPr>
              <w:pStyle w:val="5"/>
              <w:adjustRightInd w:val="0"/>
              <w:snapToGrid w:val="0"/>
              <w:jc w:val="center"/>
              <w:rPr>
                <w:rFonts w:hint="default" w:ascii="仿宋" w:hAnsi="仿宋" w:eastAsia="仿宋"/>
                <w:sz w:val="24"/>
                <w:szCs w:val="24"/>
                <w:lang w:val="en-US"/>
              </w:rPr>
            </w:pPr>
            <w:r>
              <w:rPr>
                <w:rFonts w:hint="eastAsia" w:ascii="仿宋" w:hAnsi="仿宋" w:eastAsia="仿宋"/>
                <w:color w:val="1C1A21"/>
                <w:w w:val="105"/>
                <w:sz w:val="24"/>
                <w:szCs w:val="24"/>
                <w:lang w:val="en-US" w:eastAsia="zh-CN"/>
              </w:rPr>
              <w:t>加分事项</w:t>
            </w:r>
          </w:p>
        </w:tc>
        <w:tc>
          <w:tcPr>
            <w:tcW w:w="1134" w:type="dxa"/>
            <w:gridSpan w:val="2"/>
            <w:vMerge w:val="restart"/>
            <w:vAlign w:val="center"/>
          </w:tcPr>
          <w:p>
            <w:pPr>
              <w:pStyle w:val="5"/>
              <w:adjustRightInd w:val="0"/>
              <w:snapToGrid w:val="0"/>
              <w:jc w:val="center"/>
              <w:rPr>
                <w:rFonts w:ascii="仿宋" w:hAnsi="仿宋" w:eastAsia="仿宋"/>
                <w:sz w:val="24"/>
                <w:szCs w:val="24"/>
                <w:lang w:eastAsia="zh-CN"/>
              </w:rPr>
            </w:pPr>
            <w:r>
              <w:rPr>
                <w:rFonts w:hint="eastAsia" w:ascii="仿宋" w:hAnsi="仿宋" w:eastAsia="仿宋"/>
                <w:color w:val="1C1A21"/>
                <w:w w:val="105"/>
                <w:sz w:val="24"/>
                <w:szCs w:val="24"/>
                <w:lang w:val="en-US" w:eastAsia="zh-CN"/>
              </w:rPr>
              <w:t>用工</w:t>
            </w:r>
            <w:r>
              <w:rPr>
                <w:rFonts w:hint="eastAsia" w:ascii="仿宋" w:hAnsi="仿宋" w:eastAsia="仿宋"/>
                <w:color w:val="1C1A21"/>
                <w:w w:val="105"/>
                <w:sz w:val="24"/>
                <w:szCs w:val="24"/>
                <w:lang w:eastAsia="zh-CN"/>
              </w:rPr>
              <w:t>贡献</w:t>
            </w:r>
          </w:p>
        </w:tc>
        <w:tc>
          <w:tcPr>
            <w:tcW w:w="5245" w:type="dxa"/>
            <w:vAlign w:val="center"/>
          </w:tcPr>
          <w:p>
            <w:pPr>
              <w:pStyle w:val="5"/>
              <w:adjustRightInd w:val="0"/>
              <w:snapToGrid w:val="0"/>
              <w:rPr>
                <w:rFonts w:hint="eastAsia" w:ascii="仿宋" w:hAnsi="仿宋" w:eastAsia="仿宋"/>
                <w:color w:val="2A2A2F"/>
                <w:w w:val="110"/>
                <w:sz w:val="24"/>
                <w:szCs w:val="24"/>
                <w:lang w:eastAsia="zh-CN"/>
              </w:rPr>
            </w:pPr>
            <w:r>
              <w:rPr>
                <w:rFonts w:hint="eastAsia" w:ascii="仿宋" w:hAnsi="仿宋" w:eastAsia="仿宋"/>
                <w:color w:val="2A2A2F"/>
                <w:w w:val="110"/>
                <w:sz w:val="24"/>
                <w:szCs w:val="24"/>
                <w:lang w:eastAsia="zh-CN"/>
              </w:rPr>
              <w:t>单个项目本地用工</w:t>
            </w:r>
            <w:r>
              <w:rPr>
                <w:rFonts w:hint="eastAsia" w:ascii="仿宋" w:hAnsi="仿宋" w:eastAsia="仿宋"/>
                <w:color w:val="2A2A2F"/>
                <w:w w:val="110"/>
                <w:sz w:val="24"/>
                <w:szCs w:val="24"/>
                <w:lang w:val="en-US" w:eastAsia="zh-CN"/>
              </w:rPr>
              <w:t>85</w:t>
            </w:r>
            <w:r>
              <w:rPr>
                <w:rFonts w:hint="eastAsia" w:ascii="仿宋" w:hAnsi="仿宋" w:eastAsia="仿宋"/>
                <w:color w:val="2A2A2F"/>
                <w:w w:val="110"/>
                <w:sz w:val="24"/>
                <w:szCs w:val="24"/>
                <w:lang w:eastAsia="zh-CN"/>
              </w:rPr>
              <w:t>%以上加10分</w:t>
            </w:r>
            <w:bookmarkStart w:id="0" w:name="_GoBack"/>
            <w:bookmarkEnd w:id="0"/>
          </w:p>
        </w:tc>
        <w:tc>
          <w:tcPr>
            <w:tcW w:w="1218" w:type="dxa"/>
            <w:vAlign w:val="center"/>
          </w:tcPr>
          <w:p>
            <w:pPr>
              <w:pStyle w:val="5"/>
              <w:adjustRightInd w:val="0"/>
              <w:snapToGrid w:val="0"/>
              <w:jc w:val="center"/>
              <w:rPr>
                <w:rFonts w:ascii="仿宋" w:hAnsi="仿宋" w:eastAsia="仿宋"/>
                <w:sz w:val="24"/>
                <w:szCs w:val="24"/>
              </w:rPr>
            </w:pPr>
            <w:r>
              <w:rPr>
                <w:rFonts w:ascii="仿宋" w:hAnsi="仿宋" w:eastAsia="仿宋"/>
                <w:color w:val="1C1A21"/>
                <w:w w:val="105"/>
                <w:sz w:val="24"/>
                <w:szCs w:val="24"/>
              </w:rPr>
              <w:t>+1</w:t>
            </w:r>
            <w:r>
              <w:rPr>
                <w:rFonts w:hint="eastAsia" w:ascii="仿宋" w:hAnsi="仿宋" w:eastAsia="仿宋"/>
                <w:color w:val="1C1A21"/>
                <w:w w:val="105"/>
                <w:sz w:val="24"/>
                <w:szCs w:val="24"/>
                <w:lang w:val="en-US" w:eastAsia="zh-CN"/>
              </w:rPr>
              <w:t>0</w:t>
            </w:r>
            <w:r>
              <w:rPr>
                <w:rFonts w:ascii="仿宋" w:hAnsi="仿宋" w:eastAsia="仿宋"/>
                <w:color w:val="1C1A21"/>
                <w:w w:val="105"/>
                <w:sz w:val="24"/>
                <w:szCs w:val="24"/>
              </w:rPr>
              <w:t>/</w:t>
            </w:r>
            <w:r>
              <w:rPr>
                <w:rFonts w:hint="eastAsia" w:ascii="仿宋" w:hAnsi="仿宋" w:eastAsia="仿宋"/>
                <w:color w:val="1C1A21"/>
                <w:w w:val="105"/>
                <w:sz w:val="24"/>
                <w:szCs w:val="24"/>
                <w:lang w:eastAsia="zh-CN"/>
              </w:rPr>
              <w:t>项目</w:t>
            </w:r>
          </w:p>
        </w:tc>
        <w:tc>
          <w:tcPr>
            <w:tcW w:w="1333" w:type="dxa"/>
            <w:vAlign w:val="center"/>
          </w:tcPr>
          <w:p>
            <w:pPr>
              <w:pStyle w:val="5"/>
              <w:rPr>
                <w:rFonts w:ascii="仿宋" w:hAnsi="仿宋" w:eastAsia="仿宋"/>
                <w:sz w:val="24"/>
                <w:szCs w:val="24"/>
              </w:rPr>
            </w:pPr>
          </w:p>
        </w:tc>
        <w:tc>
          <w:tcPr>
            <w:tcW w:w="1333" w:type="dxa"/>
            <w:vAlign w:val="center"/>
          </w:tcPr>
          <w:p>
            <w:pPr>
              <w:pStyle w:val="5"/>
              <w:rPr>
                <w:rFonts w:ascii="仿宋" w:hAnsi="仿宋" w:eastAsia="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134" w:type="dxa"/>
            <w:gridSpan w:val="2"/>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5245" w:type="dxa"/>
            <w:vAlign w:val="center"/>
          </w:tcPr>
          <w:p>
            <w:pPr>
              <w:pStyle w:val="5"/>
              <w:adjustRightInd w:val="0"/>
              <w:snapToGrid w:val="0"/>
              <w:rPr>
                <w:rFonts w:hint="eastAsia" w:ascii="仿宋" w:hAnsi="仿宋" w:eastAsia="仿宋"/>
                <w:color w:val="2A2A2F"/>
                <w:w w:val="110"/>
                <w:sz w:val="24"/>
                <w:szCs w:val="24"/>
                <w:lang w:eastAsia="zh-CN"/>
              </w:rPr>
            </w:pPr>
            <w:r>
              <w:rPr>
                <w:rFonts w:hint="eastAsia" w:ascii="仿宋" w:hAnsi="仿宋" w:eastAsia="仿宋"/>
                <w:color w:val="2A2A2F"/>
                <w:w w:val="110"/>
                <w:sz w:val="24"/>
                <w:szCs w:val="24"/>
                <w:lang w:eastAsia="zh-CN"/>
              </w:rPr>
              <w:t>单个项目本地用工</w:t>
            </w:r>
            <w:r>
              <w:rPr>
                <w:rFonts w:hint="eastAsia" w:ascii="仿宋" w:hAnsi="仿宋" w:eastAsia="仿宋"/>
                <w:color w:val="2A2A2F"/>
                <w:w w:val="110"/>
                <w:sz w:val="24"/>
                <w:szCs w:val="24"/>
                <w:lang w:val="en-US" w:eastAsia="zh-CN"/>
              </w:rPr>
              <w:t>9</w:t>
            </w:r>
            <w:r>
              <w:rPr>
                <w:rFonts w:hint="eastAsia" w:ascii="仿宋" w:hAnsi="仿宋" w:eastAsia="仿宋"/>
                <w:color w:val="2A2A2F"/>
                <w:w w:val="110"/>
                <w:sz w:val="24"/>
                <w:szCs w:val="24"/>
                <w:lang w:eastAsia="zh-CN"/>
              </w:rPr>
              <w:t>0%以上加1</w:t>
            </w:r>
            <w:r>
              <w:rPr>
                <w:rFonts w:hint="eastAsia" w:ascii="仿宋" w:hAnsi="仿宋" w:eastAsia="仿宋"/>
                <w:color w:val="2A2A2F"/>
                <w:w w:val="110"/>
                <w:sz w:val="24"/>
                <w:szCs w:val="24"/>
                <w:lang w:val="en-US" w:eastAsia="zh-CN"/>
              </w:rPr>
              <w:t>5</w:t>
            </w:r>
            <w:r>
              <w:rPr>
                <w:rFonts w:hint="eastAsia" w:ascii="仿宋" w:hAnsi="仿宋" w:eastAsia="仿宋"/>
                <w:color w:val="2A2A2F"/>
                <w:w w:val="110"/>
                <w:sz w:val="24"/>
                <w:szCs w:val="24"/>
                <w:lang w:eastAsia="zh-CN"/>
              </w:rPr>
              <w:t>分</w:t>
            </w:r>
          </w:p>
        </w:tc>
        <w:tc>
          <w:tcPr>
            <w:tcW w:w="1218" w:type="dxa"/>
            <w:vAlign w:val="center"/>
          </w:tcPr>
          <w:p>
            <w:pPr>
              <w:pStyle w:val="5"/>
              <w:adjustRightInd w:val="0"/>
              <w:snapToGrid w:val="0"/>
              <w:jc w:val="center"/>
              <w:rPr>
                <w:rFonts w:ascii="仿宋" w:hAnsi="仿宋" w:eastAsia="仿宋"/>
                <w:color w:val="1C1A21"/>
                <w:w w:val="105"/>
                <w:sz w:val="24"/>
                <w:szCs w:val="24"/>
              </w:rPr>
            </w:pPr>
            <w:r>
              <w:rPr>
                <w:rFonts w:ascii="仿宋" w:hAnsi="仿宋" w:eastAsia="仿宋"/>
                <w:color w:val="1C1A21"/>
                <w:w w:val="105"/>
                <w:sz w:val="24"/>
                <w:szCs w:val="24"/>
              </w:rPr>
              <w:t>+</w:t>
            </w:r>
            <w:r>
              <w:rPr>
                <w:rFonts w:hint="eastAsia" w:ascii="仿宋" w:hAnsi="仿宋" w:eastAsia="仿宋"/>
                <w:color w:val="1C1A21"/>
                <w:w w:val="105"/>
                <w:sz w:val="24"/>
                <w:szCs w:val="24"/>
                <w:lang w:val="en-US" w:eastAsia="zh-CN"/>
              </w:rPr>
              <w:t>15</w:t>
            </w:r>
            <w:r>
              <w:rPr>
                <w:rFonts w:ascii="仿宋" w:hAnsi="仿宋" w:eastAsia="仿宋"/>
                <w:color w:val="1C1A21"/>
                <w:w w:val="105"/>
                <w:sz w:val="24"/>
                <w:szCs w:val="24"/>
              </w:rPr>
              <w:t>/</w:t>
            </w:r>
            <w:r>
              <w:rPr>
                <w:rFonts w:hint="eastAsia" w:ascii="仿宋" w:hAnsi="仿宋" w:eastAsia="仿宋"/>
                <w:color w:val="1C1A21"/>
                <w:w w:val="105"/>
                <w:sz w:val="24"/>
                <w:szCs w:val="24"/>
                <w:lang w:eastAsia="zh-CN"/>
              </w:rPr>
              <w:t>项目</w:t>
            </w:r>
          </w:p>
        </w:tc>
        <w:tc>
          <w:tcPr>
            <w:tcW w:w="1333" w:type="dxa"/>
            <w:vAlign w:val="center"/>
          </w:tcPr>
          <w:p>
            <w:pPr>
              <w:pStyle w:val="5"/>
              <w:rPr>
                <w:rFonts w:ascii="仿宋" w:hAnsi="仿宋" w:eastAsia="仿宋"/>
                <w:sz w:val="24"/>
                <w:szCs w:val="24"/>
              </w:rPr>
            </w:pPr>
          </w:p>
        </w:tc>
        <w:tc>
          <w:tcPr>
            <w:tcW w:w="1333" w:type="dxa"/>
            <w:vAlign w:val="center"/>
          </w:tcPr>
          <w:p>
            <w:pPr>
              <w:pStyle w:val="5"/>
              <w:rPr>
                <w:rFonts w:ascii="仿宋" w:hAnsi="仿宋" w:eastAsia="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吸纳本县大学生</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每签订3以上劳动合同并缴社保1人加2分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+2/人</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本地纳税</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年度纳税超100万元，每增加100万元加5分</w:t>
            </w:r>
          </w:p>
        </w:tc>
        <w:tc>
          <w:tcPr>
            <w:tcW w:w="1218" w:type="dxa"/>
            <w:vAlign w:val="center"/>
          </w:tcPr>
          <w:p>
            <w:pPr>
              <w:pStyle w:val="5"/>
              <w:adjustRightInd w:val="0"/>
              <w:snapToGrid w:val="0"/>
              <w:jc w:val="center"/>
              <w:rPr>
                <w:rFonts w:hint="default"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+5/100万</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本地建材</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年度使用本地建材40万元加5分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+5/40万</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Merge w:val="restart"/>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持证管理人员</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单个承接项目投入现场管理人员持有昌都市住房和城乡建设主管部门核发证书的超过5人的，每增加1人加3分（加分上限10分）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+3/人</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企业项目管理人员持有注册一级建造师证书的，每1人加8分，须签订劳动合同并购买社会保险，加分上限10分）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+8/人</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企业项目管理人员持有注册二级建造师证书的，每1人加5分，须签订劳动合同并购买社会保险，加分上限10分）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+5/人</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企业项目管理人员持有注册二级建造师证书的，每1人加3分，须签订劳动合同并购买社会保险，加分上限10分）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+3/人</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Merge w:val="restart"/>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公益投入</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参与县域公共基建每投入50万元加5分</w:t>
            </w:r>
          </w:p>
        </w:tc>
        <w:tc>
          <w:tcPr>
            <w:tcW w:w="1218" w:type="dxa"/>
            <w:vAlign w:val="center"/>
          </w:tcPr>
          <w:p>
            <w:pPr>
              <w:pStyle w:val="5"/>
              <w:adjustRightInd w:val="0"/>
              <w:snapToGrid w:val="0"/>
              <w:jc w:val="center"/>
              <w:rPr>
                <w:rFonts w:hint="default"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+5/50万元</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公益捐赠每10万元加5分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+5/10万元</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Merge w:val="restart"/>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评优表彰</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获国家级表彰每项加10分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+10/项</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获自治区级表彰每项加5分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+5/项</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adjustRightInd w:val="0"/>
              <w:snapToGrid w:val="0"/>
              <w:jc w:val="center"/>
              <w:rPr>
                <w:rFonts w:hint="eastAsia" w:ascii="仿宋" w:hAnsi="仿宋" w:eastAsia="仿宋"/>
                <w:color w:val="1C1A21"/>
                <w:w w:val="105"/>
                <w:sz w:val="24"/>
                <w:szCs w:val="24"/>
                <w:lang w:eastAsia="zh-CN"/>
              </w:rPr>
            </w:pPr>
          </w:p>
        </w:tc>
        <w:tc>
          <w:tcPr>
            <w:tcW w:w="1134" w:type="dxa"/>
            <w:gridSpan w:val="2"/>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获市级表彰每项加3分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+3/项</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restart"/>
            <w:vAlign w:val="center"/>
          </w:tcPr>
          <w:p>
            <w:pPr>
              <w:pStyle w:val="5"/>
              <w:ind w:left="98" w:right="38" w:firstLine="4"/>
              <w:jc w:val="both"/>
              <w:rPr>
                <w:rFonts w:hint="default" w:ascii="仿宋" w:hAnsi="仿宋" w:eastAsia="仿宋"/>
                <w:sz w:val="24"/>
                <w:szCs w:val="24"/>
                <w:lang w:val="en-US"/>
              </w:rPr>
            </w:pPr>
            <w:r>
              <w:rPr>
                <w:rFonts w:hint="eastAsia" w:ascii="仿宋" w:hAnsi="仿宋" w:eastAsia="仿宋"/>
                <w:color w:val="2D2F2B"/>
                <w:w w:val="105"/>
                <w:sz w:val="24"/>
                <w:szCs w:val="24"/>
                <w:lang w:val="en-US" w:eastAsia="zh-CN"/>
              </w:rPr>
              <w:t>扣分事项</w:t>
            </w:r>
          </w:p>
        </w:tc>
        <w:tc>
          <w:tcPr>
            <w:tcW w:w="1134" w:type="dxa"/>
            <w:gridSpan w:val="2"/>
            <w:vAlign w:val="center"/>
          </w:tcPr>
          <w:p>
            <w:pPr>
              <w:pStyle w:val="5"/>
              <w:adjustRightInd w:val="0"/>
              <w:snapToGrid w:val="0"/>
              <w:jc w:val="center"/>
              <w:rPr>
                <w:rFonts w:ascii="仿宋" w:hAnsi="仿宋" w:eastAsia="仿宋"/>
                <w:sz w:val="24"/>
                <w:szCs w:val="24"/>
              </w:rPr>
            </w:pPr>
            <w:r>
              <w:rPr>
                <w:rFonts w:hint="eastAsia" w:ascii="仿宋" w:hAnsi="仿宋" w:eastAsia="仿宋"/>
                <w:color w:val="1C1A21"/>
                <w:spacing w:val="-5"/>
                <w:sz w:val="24"/>
                <w:szCs w:val="24"/>
                <w:lang w:eastAsia="zh-CN"/>
              </w:rPr>
              <w:t>行政处罚信息</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收到停工、罚款、通报处罚，单次扣10分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-10/次</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ind w:left="98" w:right="38" w:firstLine="4"/>
              <w:jc w:val="both"/>
              <w:rPr>
                <w:rFonts w:hint="eastAsia" w:ascii="仿宋" w:hAnsi="仿宋" w:eastAsia="仿宋"/>
                <w:color w:val="2D2F2B"/>
                <w:w w:val="105"/>
                <w:sz w:val="24"/>
                <w:szCs w:val="24"/>
                <w:lang w:val="en-US" w:eastAsia="zh-CN"/>
              </w:rPr>
            </w:pPr>
          </w:p>
        </w:tc>
        <w:tc>
          <w:tcPr>
            <w:tcW w:w="1134" w:type="dxa"/>
            <w:gridSpan w:val="2"/>
            <w:vAlign w:val="center"/>
          </w:tcPr>
          <w:p>
            <w:pPr>
              <w:pStyle w:val="5"/>
              <w:adjustRightInd w:val="0"/>
              <w:snapToGrid w:val="0"/>
              <w:jc w:val="center"/>
              <w:rPr>
                <w:rFonts w:hint="default" w:ascii="仿宋" w:hAnsi="仿宋" w:eastAsia="仿宋"/>
                <w:color w:val="1C1A21"/>
                <w:spacing w:val="-5"/>
                <w:sz w:val="24"/>
                <w:szCs w:val="24"/>
                <w:lang w:val="en-US" w:eastAsia="zh-CN"/>
              </w:rPr>
            </w:pPr>
            <w:r>
              <w:rPr>
                <w:rFonts w:hint="eastAsia" w:ascii="仿宋" w:hAnsi="仿宋" w:eastAsia="仿宋"/>
                <w:color w:val="1C1A21"/>
                <w:spacing w:val="-5"/>
                <w:sz w:val="24"/>
                <w:szCs w:val="24"/>
                <w:lang w:val="en-US" w:eastAsia="zh-CN"/>
              </w:rPr>
              <w:t>人员管理</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管理人员脱岗、人证不符，每人次扣5分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-5/次</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ind w:left="98" w:right="38" w:firstLine="4"/>
              <w:jc w:val="both"/>
              <w:rPr>
                <w:rFonts w:hint="eastAsia" w:ascii="仿宋" w:hAnsi="仿宋" w:eastAsia="仿宋"/>
                <w:color w:val="2D2F2B"/>
                <w:w w:val="105"/>
                <w:sz w:val="24"/>
                <w:szCs w:val="24"/>
                <w:lang w:val="en-US" w:eastAsia="zh-CN"/>
              </w:rPr>
            </w:pPr>
          </w:p>
        </w:tc>
        <w:tc>
          <w:tcPr>
            <w:tcW w:w="1134" w:type="dxa"/>
            <w:gridSpan w:val="2"/>
            <w:vAlign w:val="center"/>
          </w:tcPr>
          <w:p>
            <w:pPr>
              <w:pStyle w:val="5"/>
              <w:adjustRightInd w:val="0"/>
              <w:snapToGrid w:val="0"/>
              <w:jc w:val="center"/>
              <w:rPr>
                <w:rFonts w:hint="default" w:ascii="仿宋" w:hAnsi="仿宋" w:eastAsia="仿宋"/>
                <w:color w:val="1C1A21"/>
                <w:spacing w:val="-5"/>
                <w:sz w:val="24"/>
                <w:szCs w:val="24"/>
                <w:lang w:val="en-US" w:eastAsia="zh-CN"/>
              </w:rPr>
            </w:pPr>
            <w:r>
              <w:rPr>
                <w:rFonts w:hint="eastAsia" w:ascii="仿宋" w:hAnsi="仿宋" w:eastAsia="仿宋"/>
                <w:color w:val="1C1A21"/>
                <w:spacing w:val="-5"/>
                <w:sz w:val="24"/>
                <w:szCs w:val="24"/>
                <w:lang w:val="en-US" w:eastAsia="zh-CN"/>
              </w:rPr>
              <w:t>工资保障</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查实拖欠农牧民工资，单次扣20分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-20/次</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ind w:left="98" w:right="38" w:firstLine="4"/>
              <w:jc w:val="both"/>
              <w:rPr>
                <w:rFonts w:hint="eastAsia" w:ascii="仿宋" w:hAnsi="仿宋" w:eastAsia="仿宋"/>
                <w:color w:val="2D2F2B"/>
                <w:w w:val="105"/>
                <w:sz w:val="24"/>
                <w:szCs w:val="24"/>
                <w:lang w:val="en-US" w:eastAsia="zh-CN"/>
              </w:rPr>
            </w:pPr>
          </w:p>
        </w:tc>
        <w:tc>
          <w:tcPr>
            <w:tcW w:w="1134" w:type="dxa"/>
            <w:gridSpan w:val="2"/>
            <w:vMerge w:val="restart"/>
            <w:vAlign w:val="center"/>
          </w:tcPr>
          <w:p>
            <w:pPr>
              <w:pStyle w:val="5"/>
              <w:adjustRightInd w:val="0"/>
              <w:snapToGrid w:val="0"/>
              <w:jc w:val="center"/>
              <w:rPr>
                <w:rFonts w:hint="default" w:ascii="仿宋" w:hAnsi="仿宋" w:eastAsia="仿宋"/>
                <w:color w:val="1C1A21"/>
                <w:spacing w:val="-5"/>
                <w:sz w:val="24"/>
                <w:szCs w:val="24"/>
                <w:lang w:val="en-US" w:eastAsia="zh-CN"/>
              </w:rPr>
            </w:pPr>
            <w:r>
              <w:rPr>
                <w:rFonts w:hint="eastAsia" w:ascii="仿宋" w:hAnsi="仿宋" w:eastAsia="仿宋"/>
                <w:color w:val="1C1A21"/>
                <w:spacing w:val="-5"/>
                <w:sz w:val="24"/>
                <w:szCs w:val="24"/>
                <w:lang w:val="en-US" w:eastAsia="zh-CN"/>
              </w:rPr>
              <w:t>安全生产</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发生无人员伤亡安全事故，单个项目扣10分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-10/次</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ind w:left="98" w:right="38" w:firstLine="4"/>
              <w:jc w:val="both"/>
              <w:rPr>
                <w:rFonts w:hint="eastAsia" w:ascii="仿宋" w:hAnsi="仿宋" w:eastAsia="仿宋"/>
                <w:color w:val="2D2F2B"/>
                <w:w w:val="105"/>
                <w:sz w:val="24"/>
                <w:szCs w:val="24"/>
                <w:lang w:val="en-US" w:eastAsia="zh-CN"/>
              </w:rPr>
            </w:pPr>
          </w:p>
        </w:tc>
        <w:tc>
          <w:tcPr>
            <w:tcW w:w="1134" w:type="dxa"/>
            <w:gridSpan w:val="2"/>
            <w:vMerge w:val="continue"/>
            <w:vAlign w:val="center"/>
          </w:tcPr>
          <w:p>
            <w:pPr>
              <w:pStyle w:val="5"/>
              <w:adjustRightInd w:val="0"/>
              <w:snapToGrid w:val="0"/>
              <w:jc w:val="center"/>
              <w:rPr>
                <w:rFonts w:hint="eastAsia" w:ascii="仿宋" w:hAnsi="仿宋" w:eastAsia="仿宋"/>
                <w:color w:val="1C1A21"/>
                <w:spacing w:val="-5"/>
                <w:sz w:val="24"/>
                <w:szCs w:val="24"/>
                <w:lang w:val="en-US" w:eastAsia="zh-CN"/>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拒不落实质量安全整改通知，单次扣30分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-30/次</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ind w:left="98" w:right="38" w:firstLine="4"/>
              <w:jc w:val="both"/>
              <w:rPr>
                <w:rFonts w:ascii="仿宋" w:hAnsi="仿宋" w:eastAsia="仿宋"/>
                <w:sz w:val="24"/>
                <w:szCs w:val="24"/>
              </w:rPr>
            </w:pPr>
          </w:p>
        </w:tc>
        <w:tc>
          <w:tcPr>
            <w:tcW w:w="1134" w:type="dxa"/>
            <w:gridSpan w:val="2"/>
            <w:vMerge w:val="restart"/>
            <w:vAlign w:val="center"/>
          </w:tcPr>
          <w:p>
            <w:pPr>
              <w:pStyle w:val="5"/>
              <w:adjustRightInd w:val="0"/>
              <w:snapToGrid w:val="0"/>
              <w:jc w:val="center"/>
              <w:rPr>
                <w:rFonts w:ascii="仿宋" w:hAnsi="仿宋" w:eastAsia="仿宋"/>
                <w:sz w:val="24"/>
                <w:szCs w:val="24"/>
              </w:rPr>
            </w:pPr>
            <w:r>
              <w:rPr>
                <w:rFonts w:hint="eastAsia" w:ascii="仿宋" w:hAnsi="仿宋" w:eastAsia="仿宋"/>
                <w:color w:val="1C1A21"/>
                <w:sz w:val="24"/>
                <w:szCs w:val="24"/>
                <w:lang w:eastAsia="zh-CN"/>
              </w:rPr>
              <w:t>用工保障</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用工比例未达标，单个项目扣10分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-10/次</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ind w:left="98" w:right="38" w:firstLine="4"/>
              <w:jc w:val="both"/>
              <w:rPr>
                <w:rFonts w:ascii="仿宋" w:hAnsi="仿宋" w:eastAsia="仿宋"/>
                <w:sz w:val="24"/>
                <w:szCs w:val="24"/>
                <w:lang w:eastAsia="zh-CN"/>
              </w:rPr>
            </w:pPr>
          </w:p>
        </w:tc>
        <w:tc>
          <w:tcPr>
            <w:tcW w:w="1134" w:type="dxa"/>
            <w:gridSpan w:val="2"/>
            <w:vMerge w:val="continue"/>
            <w:vAlign w:val="center"/>
          </w:tcPr>
          <w:p>
            <w:pPr>
              <w:adjustRightInd w:val="0"/>
              <w:snapToGrid w:val="0"/>
              <w:jc w:val="center"/>
              <w:rPr>
                <w:rFonts w:ascii="仿宋" w:hAnsi="仿宋" w:eastAsia="仿宋"/>
                <w:sz w:val="24"/>
                <w:szCs w:val="24"/>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未按期完工、未缴纳工伤保险，单个项目扣5分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-5/项目</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843" w:type="dxa"/>
            <w:vMerge w:val="continue"/>
            <w:vAlign w:val="center"/>
          </w:tcPr>
          <w:p>
            <w:pPr>
              <w:pStyle w:val="5"/>
              <w:ind w:left="98" w:right="38" w:firstLine="4"/>
              <w:jc w:val="both"/>
              <w:rPr>
                <w:rFonts w:ascii="仿宋" w:hAnsi="仿宋" w:eastAsia="仿宋"/>
                <w:sz w:val="24"/>
                <w:szCs w:val="24"/>
              </w:rPr>
            </w:pPr>
          </w:p>
        </w:tc>
        <w:tc>
          <w:tcPr>
            <w:tcW w:w="1134" w:type="dxa"/>
            <w:gridSpan w:val="2"/>
            <w:vMerge w:val="continue"/>
            <w:vAlign w:val="center"/>
          </w:tcPr>
          <w:p>
            <w:pPr>
              <w:adjustRightInd w:val="0"/>
              <w:snapToGrid w:val="0"/>
              <w:jc w:val="center"/>
              <w:rPr>
                <w:rFonts w:ascii="仿宋" w:hAnsi="仿宋" w:eastAsia="仿宋"/>
                <w:sz w:val="24"/>
                <w:szCs w:val="24"/>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安全措施不到位、场地不规范，单次扣3分</w:t>
            </w:r>
          </w:p>
        </w:tc>
        <w:tc>
          <w:tcPr>
            <w:tcW w:w="1218"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-3/次</w:t>
            </w: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p>
        </w:tc>
        <w:tc>
          <w:tcPr>
            <w:tcW w:w="1333"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以县发展改革委、住建局、项目业主部门日常检查台账为准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restart"/>
            <w:vAlign w:val="center"/>
          </w:tcPr>
          <w:p>
            <w:pPr>
              <w:pStyle w:val="5"/>
              <w:ind w:left="247"/>
              <w:rPr>
                <w:rFonts w:hint="default" w:ascii="仿宋" w:hAnsi="仿宋" w:eastAsia="仿宋"/>
                <w:sz w:val="24"/>
                <w:szCs w:val="24"/>
                <w:lang w:val="en-US"/>
              </w:rPr>
            </w:pPr>
            <w:r>
              <w:rPr>
                <w:rFonts w:hint="eastAsia" w:ascii="仿宋" w:hAnsi="仿宋" w:eastAsia="仿宋"/>
                <w:color w:val="2D2F2B"/>
                <w:w w:val="110"/>
                <w:sz w:val="24"/>
                <w:szCs w:val="24"/>
                <w:lang w:val="en-US" w:eastAsia="zh-CN"/>
              </w:rPr>
              <w:t>分级惩戒</w:t>
            </w: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用工比例不达标，限期整改仍未达标</w:t>
            </w:r>
          </w:p>
        </w:tc>
        <w:tc>
          <w:tcPr>
            <w:tcW w:w="3884" w:type="dxa"/>
            <w:gridSpan w:val="3"/>
            <w:vMerge w:val="restart"/>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1年内不得在察雅县行政区域内承接政府投资项目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拖欠工资达到刑事标准或引发群体性事件</w:t>
            </w:r>
          </w:p>
        </w:tc>
        <w:tc>
          <w:tcPr>
            <w:tcW w:w="3884" w:type="dxa"/>
            <w:gridSpan w:val="3"/>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未足额缴纳履约保证金、农民工工资保证金</w:t>
            </w:r>
          </w:p>
        </w:tc>
        <w:tc>
          <w:tcPr>
            <w:tcW w:w="3884" w:type="dxa"/>
            <w:gridSpan w:val="3"/>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用工不达标且拒不整改</w:t>
            </w:r>
          </w:p>
        </w:tc>
        <w:tc>
          <w:tcPr>
            <w:tcW w:w="3884" w:type="dxa"/>
            <w:gridSpan w:val="3"/>
            <w:vMerge w:val="restart"/>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2年内不得在察雅县行政区域内承接政府投资项目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涂改、伪造、转让资质证书</w:t>
            </w:r>
          </w:p>
        </w:tc>
        <w:tc>
          <w:tcPr>
            <w:tcW w:w="3884" w:type="dxa"/>
            <w:gridSpan w:val="3"/>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挂靠、出借资质承揽工程</w:t>
            </w:r>
          </w:p>
        </w:tc>
        <w:tc>
          <w:tcPr>
            <w:tcW w:w="3884" w:type="dxa"/>
            <w:gridSpan w:val="3"/>
            <w:vMerge w:val="restart"/>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纳入失信黑名单，3 年内禁止承揽察雅县域政府项目、住建系统公示</w:t>
            </w:r>
          </w:p>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违法分包项目</w:t>
            </w:r>
          </w:p>
        </w:tc>
        <w:tc>
          <w:tcPr>
            <w:tcW w:w="3884" w:type="dxa"/>
            <w:gridSpan w:val="3"/>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偷工减料、使用不合格建材造成质量安全隐患</w:t>
            </w:r>
          </w:p>
        </w:tc>
        <w:tc>
          <w:tcPr>
            <w:tcW w:w="3884" w:type="dxa"/>
            <w:gridSpan w:val="3"/>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招投标围标串标、提供虚假材料、恶意低价竞标</w:t>
            </w:r>
          </w:p>
        </w:tc>
        <w:tc>
          <w:tcPr>
            <w:tcW w:w="3884" w:type="dxa"/>
            <w:gridSpan w:val="3"/>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不履行施工合同、拒不配合行业主管部门监管</w:t>
            </w:r>
          </w:p>
        </w:tc>
        <w:tc>
          <w:tcPr>
            <w:tcW w:w="3884" w:type="dxa"/>
            <w:gridSpan w:val="3"/>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发生人员伤亡安全事故且未购买工伤保险</w:t>
            </w:r>
          </w:p>
        </w:tc>
        <w:tc>
          <w:tcPr>
            <w:tcW w:w="3884" w:type="dxa"/>
            <w:gridSpan w:val="3"/>
            <w:vMerge w:val="continue"/>
            <w:vAlign w:val="center"/>
          </w:tcPr>
          <w:p>
            <w:pPr>
              <w:pStyle w:val="5"/>
              <w:adjustRightInd w:val="0"/>
              <w:snapToGrid w:val="0"/>
              <w:jc w:val="center"/>
              <w:rPr>
                <w:rFonts w:hint="eastAsia" w:ascii="仿宋" w:hAnsi="仿宋" w:eastAsia="仿宋"/>
                <w:color w:val="1C1A21"/>
                <w:w w:val="105"/>
                <w:sz w:val="24"/>
                <w:szCs w:val="24"/>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项目整体转包</w:t>
            </w:r>
          </w:p>
        </w:tc>
        <w:tc>
          <w:tcPr>
            <w:tcW w:w="3884" w:type="dxa"/>
            <w:gridSpan w:val="3"/>
            <w:vMerge w:val="restart"/>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永久禁止承接察雅县政府投资项目，住建失信联合惩戒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拒不执行行政处罚决定书</w:t>
            </w:r>
          </w:p>
        </w:tc>
        <w:tc>
          <w:tcPr>
            <w:tcW w:w="3884" w:type="dxa"/>
            <w:gridSpan w:val="3"/>
            <w:vMerge w:val="continue"/>
            <w:vAlign w:val="center"/>
          </w:tcPr>
          <w:p>
            <w:pPr>
              <w:rPr>
                <w:rFonts w:ascii="仿宋" w:hAnsi="仿宋" w:eastAsia="仿宋"/>
                <w:sz w:val="6"/>
                <w:szCs w:val="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恶意欠薪、煽动工人集体上访造成恶劣社会影响</w:t>
            </w:r>
          </w:p>
        </w:tc>
        <w:tc>
          <w:tcPr>
            <w:tcW w:w="3884" w:type="dxa"/>
            <w:gridSpan w:val="3"/>
            <w:vMerge w:val="continue"/>
            <w:vAlign w:val="center"/>
          </w:tcPr>
          <w:p>
            <w:pPr>
              <w:rPr>
                <w:rFonts w:ascii="仿宋" w:hAnsi="仿宋" w:eastAsia="仿宋"/>
                <w:sz w:val="6"/>
                <w:szCs w:val="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1977" w:type="dxa"/>
            <w:gridSpan w:val="3"/>
            <w:vMerge w:val="continue"/>
            <w:vAlign w:val="center"/>
          </w:tcPr>
          <w:p>
            <w:pPr>
              <w:rPr>
                <w:rFonts w:ascii="仿宋" w:hAnsi="仿宋" w:eastAsia="仿宋"/>
                <w:sz w:val="6"/>
                <w:szCs w:val="6"/>
              </w:rPr>
            </w:pPr>
          </w:p>
        </w:tc>
        <w:tc>
          <w:tcPr>
            <w:tcW w:w="5245" w:type="dxa"/>
            <w:vAlign w:val="center"/>
          </w:tcPr>
          <w:p>
            <w:pPr>
              <w:pStyle w:val="5"/>
              <w:adjustRightInd w:val="0"/>
              <w:snapToGrid w:val="0"/>
              <w:jc w:val="center"/>
              <w:rPr>
                <w:rFonts w:hint="eastAsia" w:ascii="仿宋" w:hAnsi="仿宋" w:eastAsia="仿宋"/>
                <w:color w:val="1C1A21"/>
                <w:w w:val="105"/>
                <w:sz w:val="24"/>
                <w:szCs w:val="24"/>
                <w:lang w:val="en-US" w:eastAsia="zh-CN"/>
              </w:rPr>
            </w:pPr>
            <w:r>
              <w:rPr>
                <w:rFonts w:hint="eastAsia" w:ascii="仿宋" w:hAnsi="仿宋" w:eastAsia="仿宋"/>
                <w:color w:val="1C1A21"/>
                <w:w w:val="105"/>
                <w:sz w:val="24"/>
                <w:szCs w:val="24"/>
                <w:lang w:val="en-US" w:eastAsia="zh-CN"/>
              </w:rPr>
              <w:t>串联企业要挟政府、恶意围堵相关部门及政府</w:t>
            </w:r>
          </w:p>
        </w:tc>
        <w:tc>
          <w:tcPr>
            <w:tcW w:w="3884" w:type="dxa"/>
            <w:gridSpan w:val="3"/>
            <w:vMerge w:val="continue"/>
            <w:vAlign w:val="center"/>
          </w:tcPr>
          <w:p>
            <w:pPr>
              <w:rPr>
                <w:rFonts w:ascii="仿宋" w:hAnsi="仿宋" w:eastAsia="仿宋"/>
                <w:sz w:val="6"/>
                <w:szCs w:val="6"/>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8" w:hRule="atLeast"/>
          <w:jc w:val="center"/>
        </w:trPr>
        <w:tc>
          <w:tcPr>
            <w:tcW w:w="1333" w:type="dxa"/>
            <w:gridSpan w:val="2"/>
            <w:vAlign w:val="center"/>
          </w:tcPr>
          <w:p>
            <w:pPr>
              <w:rPr>
                <w:rFonts w:hint="eastAsia" w:ascii="仿宋" w:hAnsi="仿宋" w:eastAsia="仿宋"/>
                <w:sz w:val="36"/>
                <w:szCs w:val="36"/>
                <w:lang w:val="en-US" w:eastAsia="zh-CN"/>
              </w:rPr>
            </w:pPr>
          </w:p>
        </w:tc>
        <w:tc>
          <w:tcPr>
            <w:tcW w:w="9773" w:type="dxa"/>
            <w:gridSpan w:val="5"/>
            <w:vAlign w:val="center"/>
          </w:tcPr>
          <w:p>
            <w:pPr>
              <w:rPr>
                <w:rFonts w:hint="eastAsia" w:ascii="仿宋_GB2312" w:hAnsi="仿宋_GB2312" w:eastAsia="仿宋_GB2312" w:cs="仿宋_GB2312"/>
                <w:sz w:val="36"/>
                <w:szCs w:val="36"/>
                <w:lang w:val="en-US" w:eastAsia="zh-CN"/>
              </w:rPr>
            </w:pPr>
            <w:r>
              <w:rPr>
                <w:rFonts w:hint="eastAsia" w:ascii="仿宋" w:hAnsi="仿宋" w:eastAsia="仿宋"/>
                <w:sz w:val="36"/>
                <w:szCs w:val="36"/>
                <w:lang w:val="en-US" w:eastAsia="zh-CN"/>
              </w:rPr>
              <w:t xml:space="preserve">注：信用分扣至50分，将纳入“黑名单”，三年内不得承揽项目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027DF0"/>
    <w:rsid w:val="049A77DA"/>
    <w:rsid w:val="1E29467A"/>
    <w:rsid w:val="6E027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ascii="Cambria" w:hAnsi="Cambria" w:eastAsia="宋体"/>
      <w:b/>
      <w:bCs/>
      <w:kern w:val="28"/>
      <w:sz w:val="32"/>
      <w:szCs w:val="32"/>
    </w:rPr>
  </w:style>
  <w:style w:type="paragraph" w:customStyle="1" w:styleId="5">
    <w:name w:val="Table Paragraph"/>
    <w:basedOn w:val="1"/>
    <w:qFormat/>
    <w:uiPriority w:val="1"/>
    <w:pPr>
      <w:autoSpaceDE w:val="0"/>
      <w:autoSpaceDN w:val="0"/>
      <w:jc w:val="left"/>
    </w:pPr>
    <w:rPr>
      <w:rFonts w:ascii="宋体" w:hAnsi="宋体" w:eastAsia="宋体" w:cs="宋体"/>
      <w:kern w:val="0"/>
      <w:sz w:val="22"/>
      <w:szCs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1098</Words>
  <Characters>1195</Characters>
  <Lines>0</Lines>
  <Paragraphs>0</Paragraphs>
  <TotalTime>239</TotalTime>
  <ScaleCrop>false</ScaleCrop>
  <LinksUpToDate>false</LinksUpToDate>
  <CharactersWithSpaces>1201</CharactersWithSpaces>
  <Application>WPS Office_11.8.2.11019_F1E327BC-269C-435d-A152-05C5408002CA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2026-07-16T04:45:00Z</dcterms:created>
  <dc:creator>淡然</dc:creator>
  <cp:lastModifiedBy>淡然</cp:lastModifiedBy>
  <cp:lastPrinted>2026-09-03T04:25:00Z</cp:lastPrinted>
  <dcterms:modified xsi:type="dcterms:W3CDTF">2026-09-10T11:47:15Z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A991C489AC844163B2ABB1DE5157E1B3_13</vt:lpwstr>
  </property>
</Properties>
</file>