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32B0C">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察雅县政府投资项目建设实施管理办法</w:t>
      </w:r>
    </w:p>
    <w:p w14:paraId="2A560B6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w:t>
      </w:r>
      <w:r>
        <w:rPr>
          <w:rFonts w:hint="eastAsia" w:eastAsia="方正小标宋简体" w:cs="Times New Roman"/>
          <w:sz w:val="44"/>
          <w:szCs w:val="44"/>
          <w:lang w:val="en-US" w:eastAsia="zh-CN"/>
        </w:rPr>
        <w:t>征求意见稿</w:t>
      </w:r>
      <w:bookmarkStart w:id="0" w:name="_GoBack"/>
      <w:bookmarkEnd w:id="0"/>
      <w:r>
        <w:rPr>
          <w:rFonts w:hint="default" w:ascii="Times New Roman" w:hAnsi="Times New Roman" w:eastAsia="方正小标宋简体" w:cs="Times New Roman"/>
          <w:sz w:val="44"/>
          <w:szCs w:val="44"/>
        </w:rPr>
        <w:t>）</w:t>
      </w:r>
    </w:p>
    <w:p w14:paraId="1B78585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p>
    <w:p w14:paraId="6D44FDC8">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总则</w:t>
      </w:r>
    </w:p>
    <w:p w14:paraId="68382F29">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第一条</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仿宋_GB2312" w:cs="Times New Roman"/>
          <w:sz w:val="32"/>
          <w:szCs w:val="32"/>
        </w:rPr>
        <w:t>为深入</w:t>
      </w:r>
      <w:r>
        <w:rPr>
          <w:rFonts w:hint="default" w:ascii="Times New Roman" w:hAnsi="Times New Roman" w:eastAsia="仿宋_GB2312" w:cs="Times New Roman"/>
          <w:sz w:val="32"/>
          <w:szCs w:val="32"/>
          <w:lang w:val="en-US" w:eastAsia="zh-CN"/>
        </w:rPr>
        <w:t>学习</w:t>
      </w:r>
      <w:r>
        <w:rPr>
          <w:rFonts w:hint="default" w:ascii="Times New Roman" w:hAnsi="Times New Roman" w:eastAsia="仿宋_GB2312" w:cs="Times New Roman"/>
          <w:sz w:val="32"/>
          <w:szCs w:val="32"/>
        </w:rPr>
        <w:t>贯彻</w:t>
      </w:r>
      <w:r>
        <w:rPr>
          <w:rFonts w:hint="default" w:ascii="Times New Roman" w:hAnsi="Times New Roman" w:eastAsia="仿宋_GB2312" w:cs="Times New Roman"/>
          <w:sz w:val="32"/>
          <w:szCs w:val="32"/>
          <w:lang w:val="en-US" w:eastAsia="zh-CN"/>
        </w:rPr>
        <w:t>习近平新时代中国特色社会主义思想</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贯彻落实自治区党委、政府和市委、市政府部署要求</w:t>
      </w:r>
      <w:r>
        <w:rPr>
          <w:rFonts w:hint="default" w:ascii="Times New Roman" w:hAnsi="Times New Roman" w:eastAsia="仿宋_GB2312" w:cs="Times New Roman"/>
          <w:sz w:val="32"/>
          <w:szCs w:val="32"/>
        </w:rPr>
        <w:t>，以项目攻坚赋能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六个察雅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建设，规范全县政府投资项目建设实施全过程管理，依据《政府投资条例》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《西藏自治区政府投资建设项目审计监督办法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《昌都市政府投资项目管理办法》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《农业农村部中央预算内投资农业建设项目竣工验收管理办法》（农计财发〔2024〕23 号）、《西藏自治区农业农村厅关于进一步规范农牧业建设项目竣工验收工作的通知》（藏农厅发〔2026〕73 号）、《西藏自治区财政常态化帮扶资金项目全流程管理操作手册（2026 年版）》、《高标准农田建设项目竣工验收办法（试行）》等法规，结合察雅高原地域、对口援藏、藏东产业发展实际，制定本办法。</w:t>
      </w:r>
    </w:p>
    <w:p w14:paraId="1F59CCFB">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第二条</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仿宋_GB2312" w:cs="Times New Roman"/>
          <w:sz w:val="32"/>
          <w:szCs w:val="32"/>
        </w:rPr>
        <w:t>本办法适用于察雅县行政区域内下列政府投资项目的建设实施阶段全过程管理：</w:t>
      </w:r>
    </w:p>
    <w:p w14:paraId="112AA38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（一）全额县级财政资金、对口援藏资金建设项目；</w:t>
      </w:r>
    </w:p>
    <w:p w14:paraId="4477BCB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（二）财政资金占总投资50%以上，或财政占比不足50%但县政府拥有实际管控权的基建项目；</w:t>
      </w:r>
    </w:p>
    <w:p w14:paraId="1E0B7CAB">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（三）中央预算内、专项债、以工代赈、援藏帮扶等各类财政性资金项目。涵盖基础设施、公共服务、生态保护修复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乡村振兴、文化旅游、应急保障、产业配套等公益性、基础性工程。</w:t>
      </w:r>
    </w:p>
    <w:p w14:paraId="6223DABB">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附则补充（分类适用规则）</w:t>
      </w:r>
      <w:r>
        <w:rPr>
          <w:rFonts w:hint="default" w:ascii="Times New Roman" w:hAnsi="Times New Roman" w:eastAsia="仿宋_GB2312" w:cs="Times New Roman"/>
          <w:sz w:val="32"/>
          <w:szCs w:val="32"/>
        </w:rPr>
        <w:t>：本办法为全县政府投资项目通用管理文件，不同类别项目除遵守本办法通用条款外，还应当执行对应行业专项制度：</w:t>
      </w:r>
    </w:p>
    <w:p w14:paraId="38BC10D1">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普通农牧业建设项目，竣工验收等环节执行藏农厅发〔2026〕73 号文件规定；</w:t>
      </w:r>
    </w:p>
    <w:p w14:paraId="53DC292B">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常态化帮扶资金（四级财政衔接资金）项目，同步执行《西藏自治区财政常态化帮扶资金项目全流程管理操作手册（2026 年版）》全部管理要求；</w:t>
      </w:r>
    </w:p>
    <w:p w14:paraId="416840A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3.高标准农田建设项目，执行国家、自治区高标准农田建设专项管理制度、专项竣工验收制度，不适用本办法及普通农牧业建设项目竣工验收相关条款。</w:t>
      </w:r>
    </w:p>
    <w:p w14:paraId="019C6CFC">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第三条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全县项目谋划储备、项目库动态管理、要素统筹保障、定期会商调度、督查考核问责、党群联建、档案管理、监管执法、激励约束、绩效评价等全链条统筹工作，按照《察雅县重大项目建设服务保障机制》执行。本办法仅规范项目立项后建设实施阶段的刚性管理要求，两份文件配套并行、一体执行。项目建设实施管理严格遵照本办法执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常态化帮扶资金项目入库、联农带农审查、资产确权、变更审批等特殊管理要求，按照本章第二条分类适用规则配套专项制度执行。</w:t>
      </w:r>
    </w:p>
    <w:p w14:paraId="60D1EEF3">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第四条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建设实施阶段管理遵循以下原则：</w:t>
      </w:r>
    </w:p>
    <w:p w14:paraId="580DF3CA">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（一）规划入库前置：</w:t>
      </w:r>
      <w:r>
        <w:rPr>
          <w:rFonts w:hint="default" w:ascii="Times New Roman" w:hAnsi="Times New Roman" w:eastAsia="仿宋_GB2312" w:cs="Times New Roman"/>
          <w:sz w:val="32"/>
          <w:szCs w:val="32"/>
        </w:rPr>
        <w:t>所有项目须纳入全县三年滚动投资计划及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十五五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项目储备库，未入库项目原则上不予立项审批。列入县级及以上专项规划的项目，可简化程序免批项目建议书。常态化帮扶资金项目严格落实 “村申报、乡镇审核、行业论证、县级审定” 入库流程，3 年未实施项目自动出库；项目入库必须同步明确联农带农机制，产业项目同步编制运营方案、公益性项目明确管护机制，严格对照帮扶资金负面清单开展合规审查，严禁负面清单内项目入库实施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经营性产业项目达到规定投资阈值的，尽职调查报告作为项目入库必备要件。</w:t>
      </w:r>
    </w:p>
    <w:p w14:paraId="79852211">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（二）分级分类审批：</w:t>
      </w:r>
      <w:r>
        <w:rPr>
          <w:rFonts w:hint="default" w:ascii="Times New Roman" w:hAnsi="Times New Roman" w:eastAsia="仿宋_GB2312" w:cs="Times New Roman"/>
          <w:sz w:val="32"/>
          <w:szCs w:val="32"/>
        </w:rPr>
        <w:t>严格执行昌都市投资项目分级审批权限。总投资3000万元及以上普通政府项目、1000万元及以上援藏项目，由昌都市发改委审批；1000万元以下援藏项目、3000万元以下县级自筹项目，由县发改委分级审批；100万元以下小额普惠民生项目，可研与实施方案合并审批。</w:t>
      </w:r>
    </w:p>
    <w:p w14:paraId="60AF7071">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（三）投资三控红线：</w:t>
      </w:r>
      <w:r>
        <w:rPr>
          <w:rFonts w:hint="default" w:ascii="Times New Roman" w:hAnsi="Times New Roman" w:eastAsia="仿宋_GB2312" w:cs="Times New Roman"/>
          <w:sz w:val="32"/>
          <w:szCs w:val="32"/>
        </w:rPr>
        <w:t>估算控概算、概算控预算、预算控决算。严禁无手续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三边工程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、擅自扩大建设规模、提高建设标准、突破总投资。</w:t>
      </w:r>
    </w:p>
    <w:p w14:paraId="79CEA1DE">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（四）债务刚性约束：</w:t>
      </w:r>
      <w:r>
        <w:rPr>
          <w:rFonts w:hint="default" w:ascii="Times New Roman" w:hAnsi="Times New Roman" w:eastAsia="仿宋_GB2312" w:cs="Times New Roman"/>
          <w:sz w:val="32"/>
          <w:szCs w:val="32"/>
        </w:rPr>
        <w:t>严禁施工企业垫资建设，严禁违规新增地方政府隐性债务。资金未足额落实的项目，一律不得开工。</w:t>
      </w:r>
    </w:p>
    <w:p w14:paraId="65966101">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（五）援藏项目专项管控：</w:t>
      </w:r>
      <w:r>
        <w:rPr>
          <w:rFonts w:hint="default" w:ascii="Times New Roman" w:hAnsi="Times New Roman" w:eastAsia="仿宋_GB2312" w:cs="Times New Roman"/>
          <w:sz w:val="32"/>
          <w:szCs w:val="32"/>
        </w:rPr>
        <w:t>实行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双业主、双监管、双报备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，同步报送对口援藏前方指挥部及县援藏工作队。坚持援藏资金80%投向基层民生领域。</w:t>
      </w:r>
    </w:p>
    <w:p w14:paraId="3E8A035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（六）固边民生导向：</w:t>
      </w:r>
      <w:r>
        <w:rPr>
          <w:rFonts w:hint="default" w:ascii="Times New Roman" w:hAnsi="Times New Roman" w:eastAsia="仿宋_GB2312" w:cs="Times New Roman"/>
          <w:sz w:val="32"/>
          <w:szCs w:val="32"/>
        </w:rPr>
        <w:t>所有项目建设全过程兼顾民族团结进步、群众增收、改善生产生活条件，持续提升群众获得感。</w:t>
      </w:r>
    </w:p>
    <w:p w14:paraId="532FC29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（七）绩效全链条管控</w:t>
      </w:r>
      <w:r>
        <w:rPr>
          <w:rFonts w:hint="default" w:ascii="Times New Roman" w:hAnsi="Times New Roman" w:eastAsia="仿宋_GB2312" w:cs="Times New Roman"/>
          <w:sz w:val="32"/>
          <w:szCs w:val="32"/>
        </w:rPr>
        <w:t xml:space="preserve">：常态化帮扶资金项目全流程落实绩效管理，按要求编制、审核绩效目标，开展绩效运行监控、年度绩效自评，设置成本、产出、效益、满意度四类绩效指标。 </w:t>
      </w:r>
    </w:p>
    <w:p w14:paraId="0DEEAE9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（八）全流程公开公示：</w:t>
      </w:r>
      <w:r>
        <w:rPr>
          <w:rFonts w:hint="default" w:ascii="Times New Roman" w:hAnsi="Times New Roman" w:eastAsia="仿宋_GB2312" w:cs="Times New Roman"/>
          <w:sz w:val="32"/>
          <w:szCs w:val="32"/>
        </w:rPr>
        <w:t>常态化帮扶资金项目落实项目入库、开工实施、项目竣工、年度计划完成情况四级公示制度，明确公示期限、公示内容，公开监督电话，主动接受群众监督。</w:t>
      </w:r>
    </w:p>
    <w:p w14:paraId="68B2749E">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第二章 项目前期储备与立项决策</w:t>
      </w:r>
    </w:p>
    <w:p w14:paraId="12A8385F">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第五条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项目储备库管理按照《察雅县重大项目建设服务保障机制》执行。由县发改委牵头建立政府投资项目储备总库，各行业部门分设专项子库，实行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储备一批、成熟一批、在建一批、投产一批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梯次滚动管理。储备项目重点布局清洁能源、茶马古道文旅、藏东非遗产业园、全域高标准农田、城乡基础设施、生态保护修复、基层民生等八大领域，精准对接国家、自治区、昌都市上位规划。各行业主管部门对储备项目开展建设必要性、可行性、高原适应性、社会效益综合论证。建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行业申报→项目专班初审→县政府常务会/县委常委会终审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入库评审机制，每季度开展清库提质，清退无资金来源、无落地条件、低效虚假储备项目。每年四季度同步测算下一年度资金盘子，无明确资金来源的项目不得纳入年度实施清单。</w:t>
      </w:r>
    </w:p>
    <w:p w14:paraId="6F9F7B01">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第六条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rPr>
        <w:t>立项审批分类规则：</w:t>
      </w:r>
    </w:p>
    <w:p w14:paraId="1C77E82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（一）纳入县级及以上五年规划、专项规划的项目，直接审批可行性研究报告，取消项目建议书环节；</w:t>
      </w:r>
    </w:p>
    <w:p w14:paraId="49A0CFE9">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（二）规划外新增项目，先行报批项目建议书，经县政府专题会议审议通过后方可编制可研；</w:t>
      </w:r>
    </w:p>
    <w:p w14:paraId="690ECBBB">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（三）100万元以下小额普惠民生、以工代赈、零星改造项目，可研与实施方案合并审批，压缩高原基层项目前期周期。</w:t>
      </w:r>
    </w:p>
    <w:p w14:paraId="25CD1CC2">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第七条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可研报告须包含建设内容及标准、高原地质预判、投资估算及资金来源、工期安排、征地拆迁、稳评、水保、节能、环评初步意见等内容。山区地质复杂项目必须附初步地质勘察资料。</w:t>
      </w:r>
    </w:p>
    <w:p w14:paraId="3E2F3B72">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第八条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前置并联审批要求：可研批复前后同步并联办理规划选址、用地预审、稳评、水保、节能、环评等手续。对入库成熟项目倒排前期工期，同步并联推进全部前置要件。偏远乡镇小型民生项目落实昌都市告知承诺简化审批政策，压缩办理时限，成熟项目即时具备向上申报和开工建设条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政府投资类采购项目按照《西藏自治区政府采购工作指南（2025 年版）》执行，区分货物、工程、服务类别，严格按照资金额度确定采购、招投标方式；对农业农村领域牲畜活禽、高原适配农药兽药等特殊物资采购，执行行业特殊采购管理规定。</w:t>
      </w:r>
    </w:p>
    <w:p w14:paraId="7C6808A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第三章 勘察设计与概算刚性管控</w:t>
      </w:r>
    </w:p>
    <w:p w14:paraId="2BCCD07C">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第九条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公开招标选取具备高原涉藏项目实施业绩的勘察、设计单位，严禁无资质单位承揽业务。初步设计必须严格对标可研批复规模、内容和建设标准，不得擅自调整。高寒高海拔地区设计须充分考虑防冻、抗裂、防风、滑坡泥石流防护、冬季施工适配性，从源头减少后期设计变更。</w:t>
      </w:r>
    </w:p>
    <w:p w14:paraId="7253A380">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概算刚性管控：</w:t>
      </w:r>
    </w:p>
    <w:p w14:paraId="34513693">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（一）初步设计概算超出可研估算10%及以上的，须重新报批可研并落实资金，不得直接上调概算；</w:t>
      </w:r>
    </w:p>
    <w:p w14:paraId="51F60230">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（二）批复概算为项目法定总投资控制红线，仅国家政策重大调整、建材价格大幅波动、重大地质灾害、勘察未探明特殊地质条件四类情形允许申请调整；</w:t>
      </w:r>
    </w:p>
    <w:p w14:paraId="1E911A1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（三）概算调增超原批复10%的，须经第三方专业评审，报原审批单位重新核定。严禁项目单位自行增建单项、抬高装修标准、扩大用地；</w:t>
      </w:r>
    </w:p>
    <w:p w14:paraId="144065C0">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（四）预备费仅用于不可预见地质、灾害支出，不得新增建设工程。预备费使用超50%的，须县政府分管领导审批。</w:t>
      </w:r>
    </w:p>
    <w:p w14:paraId="091683D3">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第十一条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施工图经住建部门审图合格后编制预算，报送县财政评审中心评审，审定金额为招标控制价上限，招标不得突破评审限价。EPC 总承包项目，因施工图在招标完成后开展编制审查，招标阶段以经评审的初步设计及投资测算作为限价控制依据；施工图完成评审后不得突破招标锁定的总投资上限。</w:t>
      </w:r>
    </w:p>
    <w:p w14:paraId="3371784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第四章 招投标与开工前置管理</w:t>
      </w:r>
    </w:p>
    <w:p w14:paraId="04EE6AE9">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第十二条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达到法定招标规模的项目，全部进入西藏公共资源交易平台线上公开招标，推行不见面开标。严禁拆分项目、化整为零规避招标。抢险救灾、应急抢修工程经县政府常务会审议批准后可直接委托实施，涉密项目执行保密规定。</w:t>
      </w:r>
    </w:p>
    <w:p w14:paraId="49A3313D">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第十三条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投标单位须提供本地人社部门无欠薪证明，中标后落实工人实名制管理，同步签订《工程廉政合同》《安全生产责任书》。援藏项目招投标方案抄送对口援藏工作队备案。EPC总承包项目招标范围、总价约束须在招标文件中明确锁定。</w:t>
      </w:r>
    </w:p>
    <w:p w14:paraId="202844CD">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第十四条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开工前须具备以下条件：</w:t>
      </w:r>
    </w:p>
    <w:p w14:paraId="5757AE00">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（一）立项、可研、初步设计及概算全套批复文件；</w:t>
      </w:r>
    </w:p>
    <w:p w14:paraId="7392FD4E">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（二）建设用地规划许可证、建设工程规划许可证；</w:t>
      </w:r>
    </w:p>
    <w:p w14:paraId="4F680A19">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（三）施工图审查合格书、财政预算评审报告；</w:t>
      </w:r>
    </w:p>
    <w:p w14:paraId="530A71AA">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（四）中标</w:t>
      </w:r>
      <w:r>
        <w:rPr>
          <w:rFonts w:hint="default" w:ascii="Times New Roman" w:hAnsi="Times New Roman" w:eastAsia="仿宋_GB2312" w:cs="Times New Roman"/>
          <w:b w:val="0"/>
          <w:bCs w:val="0"/>
          <w:sz w:val="32"/>
          <w:szCs w:val="32"/>
        </w:rPr>
        <w:t>通知</w:t>
      </w:r>
      <w:r>
        <w:rPr>
          <w:rFonts w:hint="default" w:ascii="Times New Roman" w:hAnsi="Times New Roman" w:eastAsia="仿宋_GB2312" w:cs="Times New Roman"/>
          <w:sz w:val="32"/>
          <w:szCs w:val="32"/>
        </w:rPr>
        <w:t>书、施工合同、监理合同备案资料；</w:t>
      </w:r>
    </w:p>
    <w:p w14:paraId="6F38722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五）施工许可：房屋建筑及其附属设施、城镇市政基础设施工程须取得住建部门核发《建筑工程施工许可证》；高标准农田、农业构筑物等农业农村类建设项目，按照法律法规不需要办理施工许可证的，由农业农村行业主管部门履行开工监管责任</w:t>
      </w:r>
      <w:r>
        <w:rPr>
          <w:rFonts w:hint="default" w:ascii="Times New Roman" w:hAnsi="Times New Roman" w:eastAsia="仿宋_GB2312" w:cs="Times New Roman"/>
          <w:b w:val="0"/>
          <w:bCs w:val="0"/>
          <w:sz w:val="32"/>
          <w:szCs w:val="32"/>
          <w:lang w:eastAsia="zh-CN"/>
        </w:rPr>
        <w:t>；</w:t>
      </w:r>
    </w:p>
    <w:p w14:paraId="13B5CCE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（六）农民工工资专户设立证明、施工现场安全专项预案；</w:t>
      </w:r>
    </w:p>
    <w:p w14:paraId="486AD3FC">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（七）项目现场三通一平完成、监理单位正式进场履职。</w:t>
      </w:r>
    </w:p>
    <w:p w14:paraId="2C83A602">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第十五条</w:t>
      </w:r>
      <w:r>
        <w:rPr>
          <w:rFonts w:hint="default" w:ascii="Times New Roman" w:hAnsi="Times New Roman" w:eastAsia="仿宋_GB2312" w:cs="Times New Roman"/>
          <w:sz w:val="32"/>
          <w:szCs w:val="32"/>
        </w:rPr>
        <w:t xml:space="preserve"> 对于项目单位缺乏相关专业技术人员和建设管理经验的政府投资项目，项目审批部门应当在批复可行性研究报告时要求实行代理建设制度 (“代建制”)，通过直接委托或招标等方式选择具备相应资质的工程咨询机构作为项目管理单位负责组织项目建设实施。代建单位应当具备与项目规模相匹配专业资质，严格履行项目建设质量、投资、进度、安全管控职责，厘清业主、代建、监理三方权责，补齐基层项目管理短板。</w:t>
      </w:r>
    </w:p>
    <w:p w14:paraId="51A1B383">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第五章 施工全过程现场管理</w:t>
      </w:r>
    </w:p>
    <w:p w14:paraId="13057667">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第十六条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严格落实项目法人责任制、招投标制、工程监理制、合同管理制。项目业主承担项目实施主体责任，监理单位承担现场质量、安全、投资管控第一责任，施工单位承担施工履约和安全生产直接责任，行业部门承担常态化督查责任。全县在建项目统一纳入调度台账，县级包保领导、行业主管单位按照《察雅县重大项目建设服务保障机制》常态化下沉督导。</w:t>
      </w:r>
    </w:p>
    <w:p w14:paraId="657DDFB6">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第十七条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设计变更与现场签证分级审批：</w:t>
      </w:r>
    </w:p>
    <w:p w14:paraId="7FBF6F0F">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（一）小额变更（单份签证造价≤概算0.5%，单项目累计不超概算3%）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施工、监理、业主三方现场认定，行业主管部门备案；</w:t>
      </w:r>
    </w:p>
    <w:p w14:paraId="43380163">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（二）一般变更（0.5%＜单份变更≤2%）：业主班子会研究，县发改、财政现场复核审批；</w:t>
      </w:r>
    </w:p>
    <w:p w14:paraId="3C7D609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（三）重大变更（单份超概算2%，累计变更超概算5%，或变更选址、结构、使用功能）：提交县政府项目专题会审议，原概算审批单位重新批复；</w:t>
      </w:r>
    </w:p>
    <w:p w14:paraId="389E8936">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（四）无合规审批手续的签证和私下变更，财政结算、审计一律不予认可，超概资金由业主自行承担并依规追责。EPC 总承包项目所有设计调整、分项增减均适用本条变更审批流程，不得以总包名义规避</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常态化帮扶资金项目发生设计变更、建设内容调整，除执行本条分级审批流程外，还应当履行县级农村工作领导小组审定程序。</w:t>
      </w:r>
      <w:r>
        <w:rPr>
          <w:rFonts w:hint="default" w:ascii="Times New Roman" w:hAnsi="Times New Roman" w:eastAsia="仿宋_GB2312" w:cs="Times New Roman"/>
          <w:sz w:val="32"/>
          <w:szCs w:val="32"/>
          <w:lang w:val="en-US" w:eastAsia="zh-CN"/>
        </w:rPr>
        <w:t xml:space="preserve"> </w:t>
      </w:r>
    </w:p>
    <w:p w14:paraId="7ACE2196">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第十八条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资金拨付管理：</w:t>
      </w:r>
    </w:p>
    <w:p w14:paraId="0015B48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（一）拨付流程：监理审核工程量→业主初审→财政复核拨付；</w:t>
      </w:r>
    </w:p>
    <w:p w14:paraId="0A142A1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（二）工程进度款累计拨付不超过审定工程量的80%，竣工决算审计完成前，尾款预留不低于结算总价的15%；</w:t>
      </w:r>
    </w:p>
    <w:p w14:paraId="39E55C4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（三）对口援藏专项资金实行专户专账管理，拨付台账同步抄送援藏工作队监管；</w:t>
      </w:r>
    </w:p>
    <w:p w14:paraId="6E943DF1">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（四）严禁全额预付、超额拨付，严禁挤占、挪用项目建设资金。</w:t>
      </w:r>
    </w:p>
    <w:p w14:paraId="5A928B7F">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第十九条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高原施工特殊管控：</w:t>
      </w:r>
    </w:p>
    <w:p w14:paraId="5D12B14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（一）每年11月至次年3月冻土严寒期，原则上不安排室外土建主体施工。确需冬季施工的，须编制专项防冻施工方案，经住建、应急联合审查通过后方可开工；</w:t>
      </w:r>
    </w:p>
    <w:p w14:paraId="035EFFC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（二）临崖、滑坡、泥石流易发区域项目每月开展地质安全隐患排查；</w:t>
      </w:r>
    </w:p>
    <w:p w14:paraId="156BCF4C">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（三）施工现场严格落实高原生态保护要求，建筑垃圾集中处置，禁止破坏原生植被。</w:t>
      </w:r>
    </w:p>
    <w:p w14:paraId="6307DC49">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第六章 竣工验收、决算审计与资产移交</w:t>
      </w:r>
    </w:p>
    <w:p w14:paraId="1430A54D">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第二十条</w:t>
      </w:r>
      <w:r>
        <w:rPr>
          <w:rFonts w:hint="default" w:ascii="Times New Roman" w:hAnsi="Times New Roman" w:eastAsia="仿宋_GB2312" w:cs="Times New Roman"/>
          <w:sz w:val="32"/>
          <w:szCs w:val="32"/>
        </w:rPr>
        <w:t xml:space="preserve"> 分阶段验收流程：房建、市政类通用政府投资项目施工完工后按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施工自检→监理预验收→业主内部初验→问题闭环整改→多部门联合竣工验收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程序推进。由县发改牵头，住建、财政、自然资源、应急、生态环境、消防、档案等单位现场联合验收，出具竣工验收意见书。验收不合格项目严禁交付投运。</w:t>
      </w:r>
    </w:p>
    <w:p w14:paraId="567441AF">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b/>
          <w:bCs/>
          <w:sz w:val="32"/>
          <w:szCs w:val="32"/>
        </w:rPr>
        <w:t>专项例外条款：</w:t>
      </w:r>
    </w:p>
    <w:p w14:paraId="5C75E17E">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中央、自治区预算内农牧业项目、常态化帮扶资金农牧业项目，竣工验收由县农科局主持或按授权组织，不适用发改牵头多部门联合验收模式，严格执行藏农厅发〔2026〕73 号规定的 “初验、申请竣工验收、正式竣工验收” 三步程序；</w:t>
      </w:r>
    </w:p>
    <w:p w14:paraId="570824F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验收专家组硬性条件：验收专家总人数为 5 人及以上单数，工程、技术、财务类专家占比不少于三分之二；勘察、设计、施工、监理等参建单位人员不得作为验收专家参与验收；专家职称、职务信息完整归档。</w:t>
      </w:r>
    </w:p>
    <w:p w14:paraId="652C2E2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竣工验收前置条件：必须完成竣工财务决算审计报告、建设单位初验及整改闭环报告、全套规范项目档案（含合规竣工图、完整监理资料），未达到前置条件不得组织竣工验收</w:t>
      </w:r>
      <w:r>
        <w:rPr>
          <w:rFonts w:hint="default" w:ascii="Times New Roman" w:hAnsi="Times New Roman" w:eastAsia="仿宋_GB2312" w:cs="Times New Roman"/>
          <w:sz w:val="32"/>
          <w:szCs w:val="32"/>
          <w:lang w:eastAsia="zh-CN"/>
        </w:rPr>
        <w:t>。</w:t>
      </w:r>
    </w:p>
    <w:p w14:paraId="06827EC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3.</w:t>
      </w:r>
      <w:r>
        <w:rPr>
          <w:rFonts w:hint="default" w:ascii="Times New Roman" w:hAnsi="Times New Roman" w:eastAsia="仿宋_GB2312" w:cs="Times New Roman"/>
          <w:sz w:val="32"/>
          <w:szCs w:val="32"/>
        </w:rPr>
        <w:t xml:space="preserve">验收表单管理：必须使用西藏自治区统一农牧业建设项目 7 套竣工验收专用表格，完整履行签字盖章手续，不得使用通用政府投资项目验收表格替代。 </w:t>
      </w:r>
    </w:p>
    <w:p w14:paraId="6F24534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时限管控：项目完工后 3 个月内要督办开展验收；建成满 2 年未申请竣工验收的，启动专项核查处置。</w:t>
      </w:r>
    </w:p>
    <w:p w14:paraId="513F3FE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档案归档：档案严格按照 GB/T51429</w:t>
      </w:r>
      <w:r>
        <w:rPr>
          <w:rFonts w:hint="default" w:ascii="Times New Roman" w:hAnsi="Times New Roman" w:eastAsia="仿宋_GB2312" w:cs="Times New Roman"/>
          <w:sz w:val="32"/>
          <w:szCs w:val="32"/>
        </w:rPr>
        <w:noBreakHyphen/>
      </w:r>
      <w:r>
        <w:rPr>
          <w:rFonts w:hint="default" w:ascii="Times New Roman" w:hAnsi="Times New Roman" w:eastAsia="仿宋_GB2312" w:cs="Times New Roman"/>
          <w:sz w:val="32"/>
          <w:szCs w:val="32"/>
        </w:rPr>
        <w:t xml:space="preserve">2022 标准附录 A 执行，按前期资料、施工监理资料、竣工图、设备仪器资料、验收资料分类组卷；竣工图加盖施工单位竣工图章，监理日志、旁站记录等监理资料完整归档。 </w:t>
      </w:r>
    </w:p>
    <w:p w14:paraId="3E4D972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 xml:space="preserve"> 高标准农田建设项目，执行国家、自治区高标准农田专项验收制度，落实 “谁审批、谁验收”，项目完工后完成试运行方可组织竣工验收，重点核查田块整治、灌排、田间道路、地力提升等建设任务；验收合格后完成上图入库作为项目闭环必要条件；落实建后管护主体、管护经费、工程质量保修及问题整改要求。</w:t>
      </w:r>
    </w:p>
    <w:p w14:paraId="182AA84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 xml:space="preserve"> 初验由项目建设单位组织实施，出具初验报告，落实问题整改闭环；竣工验收申请报告应当完整提交全部要件资料；通用类项目联合综合验收意见书由县发改委出具。</w:t>
      </w:r>
    </w:p>
    <w:p w14:paraId="40AA92F3">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第二十一条</w:t>
      </w:r>
      <w:r>
        <w:rPr>
          <w:rFonts w:hint="default" w:ascii="Times New Roman" w:hAnsi="Times New Roman" w:eastAsia="仿宋_GB2312" w:cs="Times New Roman"/>
          <w:sz w:val="32"/>
          <w:szCs w:val="32"/>
        </w:rPr>
        <w:t xml:space="preserve"> 竣工结算由施工单位编制，监理初审、业主复核后报送财政评审。通用房建市政类项目竣工综合验收合格后 3 个月内完成全套决算资料，由县审计局开展竣工决算审计， 审计部门明确审计工作办理时限，建立审计时限闭环管理机制 ，审计定案金额为项目最终总投资。 农牧业常态化帮扶资金项目竣工价款结算，执行自治区操作手册规定：承包人最迟应当在竣工验收合格后 20 日内提交完整竣工结算报告及资料，竣工价款结算一般应当在项目竣工验收后 2 个月内完成。无审批手续的超概部分，审计不予认定，财政不予拨付。援藏项目竣工决算审计报告同步报送重庆对口援藏前方指挥部归档。</w:t>
      </w:r>
    </w:p>
    <w:p w14:paraId="54F107FD">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第二十二条</w:t>
      </w:r>
      <w:r>
        <w:rPr>
          <w:rFonts w:hint="default" w:ascii="Times New Roman" w:hAnsi="Times New Roman" w:eastAsia="仿宋_GB2312" w:cs="Times New Roman"/>
          <w:sz w:val="32"/>
          <w:szCs w:val="32"/>
        </w:rPr>
        <w:t xml:space="preserve"> 项目全周期批复、合同、图纸、签证、影像资料按照《察雅县重大项目建设服务保障机制》档案管理要求分卷归档，县档案馆和行业主管单位双存档。资料缺失无法审计的，不予结清工程尾款。竣工后运维长效统筹、产业类项目市场化运营方案编制等工作按照服务保障机制执行。</w:t>
      </w:r>
    </w:p>
    <w:p w14:paraId="51BEE7AE">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第二十三条</w:t>
      </w:r>
      <w:r>
        <w:rPr>
          <w:rFonts w:hint="default" w:ascii="Times New Roman" w:hAnsi="Times New Roman" w:eastAsia="仿宋_GB2312" w:cs="Times New Roman"/>
          <w:sz w:val="32"/>
          <w:szCs w:val="32"/>
        </w:rPr>
        <w:t xml:space="preserve"> 审计完结1个月内完成固定资产登记移交，明确后期管护责任主体。常态化帮扶资金项目验收合格后 1 个月内完成固定资产登记入账；产业类项目资产优先确权到村集体；区分公益性、经营性、到户资产建立三本资产台账，明确资产收益分配规则、管护责任主体。产业类、援藏示范项目同步编制市场化运营方案，实现竣工交付、管护运营无缝衔接。项目投运满一年，由县财政局按照服务保障机制开展绩效后评价，评价结果作为下一年度资金申报和项目审批的重要依据。</w:t>
      </w:r>
    </w:p>
    <w:p w14:paraId="0EFBFF7E">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第七章 监督监管与追责问责</w:t>
      </w:r>
    </w:p>
    <w:p w14:paraId="157B6624">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第二十四条</w:t>
      </w:r>
      <w:r>
        <w:rPr>
          <w:rFonts w:hint="default" w:ascii="Times New Roman" w:hAnsi="Times New Roman" w:eastAsia="仿宋_GB2312" w:cs="Times New Roman"/>
          <w:sz w:val="32"/>
          <w:szCs w:val="32"/>
        </w:rPr>
        <w:t xml:space="preserve"> 多维监督体系：</w:t>
      </w:r>
    </w:p>
    <w:p w14:paraId="0039881F">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（一）行政监督：</w:t>
      </w:r>
      <w:r>
        <w:rPr>
          <w:rFonts w:hint="default" w:ascii="Times New Roman" w:hAnsi="Times New Roman" w:eastAsia="仿宋_GB2312" w:cs="Times New Roman"/>
          <w:sz w:val="32"/>
          <w:szCs w:val="32"/>
        </w:rPr>
        <w:t>发改全过程管控、财政资金评审拨付、审计决算稽查、住建质量安全、纪委监委廉政督查，实行常态化联合检查；</w:t>
      </w:r>
    </w:p>
    <w:p w14:paraId="43F15859">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rPr>
        <w:t>（二）群众监督：</w:t>
      </w:r>
      <w:r>
        <w:rPr>
          <w:rFonts w:hint="default" w:ascii="Times New Roman" w:hAnsi="Times New Roman" w:eastAsia="仿宋_GB2312" w:cs="Times New Roman"/>
          <w:sz w:val="32"/>
          <w:szCs w:val="32"/>
        </w:rPr>
        <w:t>乡村民生项目须公示建设信息、监督电话，吸纳村干部、群众代表参与现场监督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常态化帮扶资金项目严格落实四级公示制度</w:t>
      </w:r>
      <w:r>
        <w:rPr>
          <w:rFonts w:hint="default" w:ascii="Times New Roman" w:hAnsi="Times New Roman" w:eastAsia="仿宋_GB2312" w:cs="Times New Roman"/>
          <w:sz w:val="32"/>
          <w:szCs w:val="32"/>
          <w:lang w:eastAsia="zh-CN"/>
        </w:rPr>
        <w:t>；</w:t>
      </w:r>
    </w:p>
    <w:p w14:paraId="227BEE7E">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（三）信用惩戒：</w:t>
      </w:r>
      <w:r>
        <w:rPr>
          <w:rFonts w:hint="default" w:ascii="Times New Roman" w:hAnsi="Times New Roman" w:eastAsia="仿宋_GB2312" w:cs="Times New Roman"/>
          <w:sz w:val="32"/>
          <w:szCs w:val="32"/>
        </w:rPr>
        <w:t>勘察、设计、施工、监理、造价机构弄虚作假、高估冒算、严重违约的，列入县域失信黑名单，三年内禁止参与本县所有政府项目投标，并推送信用西藏平台实施联合惩戒。</w:t>
      </w:r>
    </w:p>
    <w:p w14:paraId="08F36996">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第二十五条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禁止性刚性纪律条款：</w:t>
      </w:r>
    </w:p>
    <w:p w14:paraId="0284713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（一）严禁领导干部插手干预招投标、设计变更、资金拨付；</w:t>
      </w:r>
    </w:p>
    <w:p w14:paraId="043DDDDC">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（二）严禁拆分项目规避招标、虚假招标、围标串标；</w:t>
      </w:r>
    </w:p>
    <w:p w14:paraId="23A9831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（三）严禁擅自调整建设标准、虚增工程量套取财政资金；</w:t>
      </w:r>
    </w:p>
    <w:p w14:paraId="4E2C2CFF">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（四）严禁参建各方转包、违法分包工程；</w:t>
      </w:r>
    </w:p>
    <w:p w14:paraId="3A23349A">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（五）严禁签证、结算、档案资料造假。</w:t>
      </w:r>
    </w:p>
    <w:p w14:paraId="35A1843F">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第二十六条</w:t>
      </w:r>
      <w:r>
        <w:rPr>
          <w:rFonts w:hint="default" w:ascii="Times New Roman" w:hAnsi="Times New Roman" w:eastAsia="仿宋_GB2312" w:cs="Times New Roman"/>
          <w:sz w:val="32"/>
          <w:szCs w:val="32"/>
        </w:rPr>
        <w:t xml:space="preserve"> 存在下列情形之一的，依规给予组织处理、政务处分；涉嫌犯罪的移交司法机关：</w:t>
      </w:r>
    </w:p>
    <w:p w14:paraId="61262BC9">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（一）未批先建、边批边建、无施工许可擅自开工；</w:t>
      </w:r>
    </w:p>
    <w:p w14:paraId="2DCE932E">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（二）概算管控失效、擅自重大变更，造成大额财政资金浪费；</w:t>
      </w:r>
    </w:p>
    <w:p w14:paraId="21042A4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（三）截留、挪用、违规拨付项目资金造成资产损失；</w:t>
      </w:r>
    </w:p>
    <w:p w14:paraId="08CC5E7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（四）质量管控缺位引发一般及以上质量、安全生产事故；</w:t>
      </w:r>
    </w:p>
    <w:p w14:paraId="0A4783C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（五）项目长期停滞烂尾，公共资源闲置浪费；</w:t>
      </w:r>
    </w:p>
    <w:p w14:paraId="2EE58950">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（六）项目管理混乱，投资严重超概。</w:t>
      </w:r>
    </w:p>
    <w:p w14:paraId="0FC103EE">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对项目推进滞后、推诿扯皮、数据造假、援藏资金闲置浪费的单位，由县委办、政府办按照服务保障机制开展约谈、限期整改、通报问责。</w:t>
      </w:r>
    </w:p>
    <w:p w14:paraId="08671381">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第八章 特殊项目专项补充规定</w:t>
      </w:r>
    </w:p>
    <w:p w14:paraId="797579EF">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第二十七条</w:t>
      </w:r>
      <w:r>
        <w:rPr>
          <w:rFonts w:hint="default" w:ascii="Times New Roman" w:hAnsi="Times New Roman" w:eastAsia="仿宋_GB2312" w:cs="Times New Roman"/>
          <w:sz w:val="32"/>
          <w:szCs w:val="32"/>
        </w:rPr>
        <w:t xml:space="preserve"> 对口援藏项目：</w:t>
      </w:r>
    </w:p>
    <w:p w14:paraId="05207118">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（一）落实"双业主、双监管"机制，行业主管单位为实施主体，援藏工作队全程跟踪督导施工、资金、绩效；</w:t>
      </w:r>
    </w:p>
    <w:p w14:paraId="2F0BC21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（二）年度援藏项目清单经县援藏工作队审议，聚焦民生、产业、非遗、基层治理；</w:t>
      </w:r>
    </w:p>
    <w:p w14:paraId="5382E7DC">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（三）竣工后同步编制援藏成果台账，梳理群众受益和民族团结成效，做好绩效宣传；</w:t>
      </w:r>
    </w:p>
    <w:p w14:paraId="5E057610">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（四）援藏项目前期统筹、调度预警由项目专班按照《察雅县重大项目建设服务保障机制》落实。</w:t>
      </w:r>
    </w:p>
    <w:p w14:paraId="029A6E61">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第二十八条</w:t>
      </w:r>
      <w:r>
        <w:rPr>
          <w:rFonts w:hint="default" w:ascii="Times New Roman" w:hAnsi="Times New Roman" w:eastAsia="仿宋_GB2312" w:cs="Times New Roman"/>
          <w:sz w:val="32"/>
          <w:szCs w:val="32"/>
        </w:rPr>
        <w:t xml:space="preserve"> 乡镇小型项目简化实施：单项目投资100万元以下的乡镇基础设施、农田整治、人居环境改造项目，可研与实施方案合并审批；区分基建工程项目、政府采购项目，分别按照各自法定限额确定采购、招标方式；招标限额以下采用竞争性谈判或询价选取施工单位；现场签证由乡镇纪委、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两委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共同见证签字，简化审批层级，同步留存影像台账备查。</w:t>
      </w:r>
    </w:p>
    <w:p w14:paraId="2620967F">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第二十九条</w:t>
      </w:r>
      <w:r>
        <w:rPr>
          <w:rFonts w:hint="default" w:ascii="Times New Roman" w:hAnsi="Times New Roman" w:eastAsia="仿宋_GB2312" w:cs="Times New Roman"/>
          <w:sz w:val="32"/>
          <w:szCs w:val="32"/>
        </w:rPr>
        <w:t xml:space="preserve"> EPC总承包项目：</w:t>
      </w:r>
    </w:p>
    <w:p w14:paraId="66353D8B">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（一）项目谋划阶段专班牵头评审EPC方案，严控投资上限，提前预判高原地质、冬季施工带来的超概风险；</w:t>
      </w:r>
    </w:p>
    <w:p w14:paraId="6452C901">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（二）招标阶段锁定总价上限，初步设计优化不得突破招标限价；</w:t>
      </w:r>
    </w:p>
    <w:p w14:paraId="2E680BD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（三）前期统筹并联办理全部要素审批，统一协调勘察、设计、施工一体化全链条对接；</w:t>
      </w:r>
    </w:p>
    <w:p w14:paraId="6A4D7A3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（四）所有设计调整、分项增减、现场变更必须按第十七条分级变更审批流程执行，不得以总承包一体化为由简化手续；</w:t>
      </w:r>
    </w:p>
    <w:p w14:paraId="2EBAA91B">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（五）监理单位对勘察、设计、施工全过程同步监督，严控投资超支风险；</w:t>
      </w:r>
    </w:p>
    <w:p w14:paraId="28BB0AF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（六）专班按月跟踪投资执行、进度、成本管控，对存在超概隐患的项目提前预警、组织专题会商。</w:t>
      </w:r>
    </w:p>
    <w:p w14:paraId="3FBF490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第九章 各单位职责分工</w:t>
      </w:r>
    </w:p>
    <w:p w14:paraId="7493C61B">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第三十条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按照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县级统筹、专班牵头、部门主责、乡镇属地、闭环管理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原则，细化各单位职责如下：</w:t>
      </w:r>
    </w:p>
    <w:p w14:paraId="557B327F">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（一）县级领导分工。</w:t>
      </w:r>
      <w:r>
        <w:rPr>
          <w:rFonts w:hint="default" w:ascii="Times New Roman" w:hAnsi="Times New Roman" w:eastAsia="仿宋_GB2312" w:cs="Times New Roman"/>
          <w:sz w:val="32"/>
          <w:szCs w:val="32"/>
        </w:rPr>
        <w:t>县委、县政府主要领导牵头统筹全县重大牵引性项目；县级分管领导包保分管行业领域所有基建项目，按月调度行业项目进度；乡镇联系点领导包干联系乡镇属地所有项目，统筹协调征地拆迁、施工保障、矛盾化解。</w:t>
      </w:r>
    </w:p>
    <w:p w14:paraId="70083E16">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（二）县级项目工作专班职责。</w:t>
      </w:r>
      <w:r>
        <w:rPr>
          <w:rFonts w:hint="default" w:ascii="Times New Roman" w:hAnsi="Times New Roman" w:eastAsia="仿宋_GB2312" w:cs="Times New Roman"/>
          <w:sz w:val="32"/>
          <w:szCs w:val="32"/>
        </w:rPr>
        <w:t>统筹全县项目政策研究、包装策划、对上汇报对接，常态化夯实项目前期基础；落实日常调度、进度摸排、问题归集、台账更新；负责储备项目初审、季度清库提质；统筹协调跨部门、跨乡镇项目难点。</w:t>
      </w:r>
    </w:p>
    <w:p w14:paraId="11C9140A">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（三）县发改委。</w:t>
      </w:r>
      <w:r>
        <w:rPr>
          <w:rFonts w:hint="default" w:ascii="Times New Roman" w:hAnsi="Times New Roman" w:eastAsia="仿宋_GB2312" w:cs="Times New Roman"/>
          <w:sz w:val="32"/>
          <w:szCs w:val="32"/>
        </w:rPr>
        <w:t>牵头落实项目全周期统筹管理，执行调度制度；负责项目可研、概算审批，统筹区市项目申报；牵头争取中央预算内投资、超长期特别国债等资金，统筹债券项目谋划申报；联合统计部门开展纳统指导、现场核查。</w:t>
      </w:r>
    </w:p>
    <w:p w14:paraId="4C65D1FA">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（四）县财政局。</w:t>
      </w:r>
      <w:r>
        <w:rPr>
          <w:rFonts w:hint="default" w:ascii="Times New Roman" w:hAnsi="Times New Roman" w:eastAsia="仿宋_GB2312" w:cs="Times New Roman"/>
          <w:sz w:val="32"/>
          <w:szCs w:val="32"/>
        </w:rPr>
        <w:t>统筹项目预算编制、资金拨付、使用监管；对接争取各类财政资金；盘活存量财政资金保障小微民生项目配套；配合做好债券资金使用监管和绩效评估。</w:t>
      </w:r>
    </w:p>
    <w:p w14:paraId="63E939BC">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（五）县自然资源局。</w:t>
      </w:r>
      <w:r>
        <w:rPr>
          <w:rFonts w:hint="default" w:ascii="Times New Roman" w:hAnsi="Times New Roman" w:eastAsia="仿宋_GB2312" w:cs="Times New Roman"/>
          <w:sz w:val="32"/>
          <w:szCs w:val="32"/>
        </w:rPr>
        <w:t>负责项目用地要素保障，统筹建设用地报批、规划选址；指导地灾评估、土地预审等前期手续办理；建立用地保障台账。</w:t>
      </w:r>
    </w:p>
    <w:p w14:paraId="7861C72A">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（六）昌都市生态环境局察雅分局。</w:t>
      </w:r>
      <w:r>
        <w:rPr>
          <w:rFonts w:hint="default" w:ascii="Times New Roman" w:hAnsi="Times New Roman" w:eastAsia="仿宋_GB2312" w:cs="Times New Roman"/>
          <w:sz w:val="32"/>
          <w:szCs w:val="32"/>
        </w:rPr>
        <w:t>负责环评业务指导、流程把控；统筹生态类项目包装申报；督导在建项目落实生态环保要求。</w:t>
      </w:r>
    </w:p>
    <w:p w14:paraId="54C1C7E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（七）县住建局。</w:t>
      </w:r>
      <w:r>
        <w:rPr>
          <w:rFonts w:hint="default" w:ascii="Times New Roman" w:hAnsi="Times New Roman" w:eastAsia="仿宋_GB2312" w:cs="Times New Roman"/>
          <w:sz w:val="32"/>
          <w:szCs w:val="32"/>
        </w:rPr>
        <w:t>负责房建市政类项目施工许可办理、质量安全监督；督导施工进度、安全生产；牵头做好竣工移交和纳统资料归集指导</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对依法需要办理施工许可的项目开展行业监管。</w:t>
      </w:r>
    </w:p>
    <w:p w14:paraId="15B5D206">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（八）县交通运输局。</w:t>
      </w:r>
      <w:r>
        <w:rPr>
          <w:rFonts w:hint="default" w:ascii="Times New Roman" w:hAnsi="Times New Roman" w:eastAsia="仿宋_GB2312" w:cs="Times New Roman"/>
          <w:sz w:val="32"/>
          <w:szCs w:val="32"/>
        </w:rPr>
        <w:t>负责交通基础设施项目施工许可、行业监管、质量安全督导；协调解决施工堵点。</w:t>
      </w:r>
    </w:p>
    <w:p w14:paraId="6156DD43">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（九）县水利局。</w:t>
      </w:r>
      <w:r>
        <w:rPr>
          <w:rFonts w:hint="default" w:ascii="Times New Roman" w:hAnsi="Times New Roman" w:eastAsia="仿宋_GB2312" w:cs="Times New Roman"/>
          <w:sz w:val="32"/>
          <w:szCs w:val="32"/>
        </w:rPr>
        <w:t>统筹水利项目水保、防洪、取水许可等要件协调办理；负责水利类项目施工监管、进度督导。</w:t>
      </w:r>
    </w:p>
    <w:p w14:paraId="213E3798">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（十）县林草局。</w:t>
      </w:r>
      <w:r>
        <w:rPr>
          <w:rFonts w:hint="default" w:ascii="Times New Roman" w:hAnsi="Times New Roman" w:eastAsia="仿宋_GB2312" w:cs="Times New Roman"/>
          <w:sz w:val="32"/>
          <w:szCs w:val="32"/>
        </w:rPr>
        <w:t>负责项目林地、草原征占用勘测评估和报批协调；建立林草要素保障台账；督导项目落实林草生态保护要求。</w:t>
      </w:r>
    </w:p>
    <w:p w14:paraId="53F3DA70">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w:t>
      </w:r>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rPr>
        <w:t>）县农业农村和科学技术局：</w:t>
      </w:r>
      <w:r>
        <w:rPr>
          <w:rFonts w:hint="default" w:ascii="Times New Roman" w:hAnsi="Times New Roman" w:eastAsia="仿宋_GB2312" w:cs="Times New Roman"/>
          <w:sz w:val="32"/>
          <w:szCs w:val="32"/>
        </w:rPr>
        <w:t>负责全县农牧业项目、常态化帮扶资金项目、高标准农田项目行业全过程监管；主持农牧业常态化帮扶资金项目竣工验收；落实高标准农田上图入库、建后管护督导；落实帮扶资金项目入库联农带农机制审查、尽职调查审核、资产确权台账管理等工作。</w:t>
      </w:r>
    </w:p>
    <w:p w14:paraId="7322957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w:t>
      </w:r>
      <w:r>
        <w:rPr>
          <w:rFonts w:hint="default"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rPr>
        <w:t>）县委政法委。</w:t>
      </w:r>
      <w:r>
        <w:rPr>
          <w:rFonts w:hint="default" w:ascii="Times New Roman" w:hAnsi="Times New Roman" w:eastAsia="仿宋_GB2312" w:cs="Times New Roman"/>
          <w:sz w:val="32"/>
          <w:szCs w:val="32"/>
        </w:rPr>
        <w:t>牵头重大项目社会稳定风险评估，统筹化解信访矛盾、维稳隐患。</w:t>
      </w:r>
    </w:p>
    <w:p w14:paraId="60C8DE1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rPr>
        <w:t>）县统计局。</w:t>
      </w:r>
      <w:r>
        <w:rPr>
          <w:rFonts w:hint="default" w:ascii="Times New Roman" w:hAnsi="Times New Roman" w:eastAsia="仿宋_GB2312" w:cs="Times New Roman"/>
          <w:sz w:val="32"/>
          <w:szCs w:val="32"/>
        </w:rPr>
        <w:t>牵头规范项目统计纳统工作，开展业务培训；联合发改部门开展月度现场核查；建立各类项目统计台账，做到应统尽统。</w:t>
      </w:r>
    </w:p>
    <w:p w14:paraId="59DD65FE">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w:t>
      </w:r>
      <w:r>
        <w:rPr>
          <w:rFonts w:hint="default"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rPr>
        <w:t>）其他各行业部门。</w:t>
      </w:r>
      <w:r>
        <w:rPr>
          <w:rFonts w:hint="default" w:ascii="Times New Roman" w:hAnsi="Times New Roman" w:eastAsia="仿宋_GB2312" w:cs="Times New Roman"/>
          <w:sz w:val="32"/>
          <w:szCs w:val="32"/>
        </w:rPr>
        <w:t>立足行业职能，谋划储备本领域项目；牵头本行业项目前期包装、对上争资、建设督导、竣工运维；配合做好要素保障、现场核查、纳统工作。</w:t>
      </w:r>
    </w:p>
    <w:p w14:paraId="212FE1A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rPr>
        <w:t>（十</w:t>
      </w:r>
      <w:r>
        <w:rPr>
          <w:rFonts w:hint="default" w:ascii="Times New Roman" w:hAnsi="Times New Roman" w:eastAsia="楷体_GB2312" w:cs="Times New Roman"/>
          <w:sz w:val="32"/>
          <w:szCs w:val="32"/>
          <w:lang w:val="en-US" w:eastAsia="zh-CN"/>
        </w:rPr>
        <w:t>五</w:t>
      </w:r>
      <w:r>
        <w:rPr>
          <w:rFonts w:hint="default" w:ascii="Times New Roman" w:hAnsi="Times New Roman" w:eastAsia="楷体_GB2312" w:cs="Times New Roman"/>
          <w:sz w:val="32"/>
          <w:szCs w:val="32"/>
        </w:rPr>
        <w:t>）各乡镇人民政府。</w:t>
      </w:r>
      <w:r>
        <w:rPr>
          <w:rFonts w:hint="default" w:ascii="Times New Roman" w:hAnsi="Times New Roman" w:eastAsia="仿宋_GB2312" w:cs="Times New Roman"/>
          <w:sz w:val="32"/>
          <w:szCs w:val="32"/>
        </w:rPr>
        <w:t>落实属地管理主体责任，建立属地项目台账；负责征地拆迁、群众工作、矛盾调解、施工环境保障；配合前期手续办理和现场督导；规范纳统资料收集上报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落实常态化帮扶资金项目村级申报、乡镇初审、属地群众监督职责。</w:t>
      </w:r>
    </w:p>
    <w:p w14:paraId="784A13C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（十</w:t>
      </w:r>
      <w:r>
        <w:rPr>
          <w:rFonts w:hint="default" w:ascii="Times New Roman" w:hAnsi="Times New Roman" w:eastAsia="楷体_GB2312" w:cs="Times New Roman"/>
          <w:sz w:val="32"/>
          <w:szCs w:val="32"/>
          <w:lang w:val="en-US" w:eastAsia="zh-CN"/>
        </w:rPr>
        <w:t>六</w:t>
      </w:r>
      <w:r>
        <w:rPr>
          <w:rFonts w:hint="default" w:ascii="Times New Roman" w:hAnsi="Times New Roman" w:eastAsia="楷体_GB2312" w:cs="Times New Roman"/>
          <w:sz w:val="32"/>
          <w:szCs w:val="32"/>
        </w:rPr>
        <w:t>）县委办、县政府办。</w:t>
      </w:r>
      <w:r>
        <w:rPr>
          <w:rFonts w:hint="default" w:ascii="Times New Roman" w:hAnsi="Times New Roman" w:eastAsia="仿宋_GB2312" w:cs="Times New Roman"/>
          <w:sz w:val="32"/>
          <w:szCs w:val="32"/>
        </w:rPr>
        <w:t>常态化督查各单位项目工作落实情况，开展月度督办、季度考核，落实通报表扬和约谈问责。</w:t>
      </w:r>
    </w:p>
    <w:p w14:paraId="1EFA811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第十章 附则</w:t>
      </w:r>
    </w:p>
    <w:p w14:paraId="5573B9D7">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第三十一条</w:t>
      </w:r>
      <w:r>
        <w:rPr>
          <w:rFonts w:hint="default" w:ascii="Times New Roman" w:hAnsi="Times New Roman" w:eastAsia="仿宋_GB2312" w:cs="Times New Roman"/>
          <w:sz w:val="32"/>
          <w:szCs w:val="32"/>
        </w:rPr>
        <w:t xml:space="preserve"> 本办法由县发展和改革委员会负责解释，依据国家、自治区、昌都市新出台政策动态对标更新。</w:t>
      </w:r>
    </w:p>
    <w:p w14:paraId="4E9609D5">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第三十二条</w:t>
      </w:r>
      <w:r>
        <w:rPr>
          <w:rFonts w:hint="default" w:ascii="Times New Roman" w:hAnsi="Times New Roman" w:eastAsia="仿宋_GB2312" w:cs="Times New Roman"/>
          <w:sz w:val="32"/>
          <w:szCs w:val="32"/>
        </w:rPr>
        <w:t xml:space="preserve"> 本办法自印发之日起施行，此前出台的同类项目建设管理规定与本办法不一致的，以本办法为准。项目谋划储备、要素统筹、调度考核、绩效评价、服务保障等全链条统筹工作，统一遵照《察雅县重大项目建设服务保障机制》执行。</w:t>
      </w:r>
    </w:p>
    <w:sectPr>
      <w:headerReference r:id="rId3" w:type="default"/>
      <w:footerReference r:id="rId4" w:type="default"/>
      <w:pgSz w:w="11905" w:h="16840"/>
      <w:pgMar w:top="2098" w:right="1474" w:bottom="1984" w:left="1587"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13D6C">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5DB6CB">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5DB6CB">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B23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ED7D6C"/>
    <w:multiLevelType w:val="singleLevel"/>
    <w:tmpl w:val="56ED7D6C"/>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C16BA"/>
    <w:rsid w:val="07CC06B7"/>
    <w:rsid w:val="12366594"/>
    <w:rsid w:val="23B83CA7"/>
    <w:rsid w:val="2DE5242A"/>
    <w:rsid w:val="37DBE964"/>
    <w:rsid w:val="4D8921E7"/>
    <w:rsid w:val="5526646C"/>
    <w:rsid w:val="59AC69D2"/>
    <w:rsid w:val="5B871B12"/>
    <w:rsid w:val="5FFDC35D"/>
    <w:rsid w:val="63F77CA8"/>
    <w:rsid w:val="6D4840EA"/>
    <w:rsid w:val="76101DDC"/>
    <w:rsid w:val="77911C35"/>
    <w:rsid w:val="77DE62A1"/>
    <w:rsid w:val="781E766F"/>
    <w:rsid w:val="7FF4972E"/>
    <w:rsid w:val="EED75594"/>
    <w:rsid w:val="F9BFFD00"/>
    <w:rsid w:val="FBFF6AE6"/>
    <w:rsid w:val="FDFAF3BD"/>
    <w:rsid w:val="FF65CF1D"/>
    <w:rsid w:val="FF65FCFA"/>
    <w:rsid w:val="FFEF14E9"/>
    <w:rsid w:val="FFF39FA7"/>
    <w:rsid w:val="FFFF1F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8600</Words>
  <Characters>8705</Characters>
  <TotalTime>63</TotalTime>
  <ScaleCrop>false</ScaleCrop>
  <LinksUpToDate>false</LinksUpToDate>
  <CharactersWithSpaces>8793</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2026-07-20T10:31:00Z</dcterms:created>
  <dc:creator>Apache POI</dc:creator>
  <cp:lastModifiedBy>WPS_1639125859</cp:lastModifiedBy>
  <dcterms:modified xsi:type="dcterms:W3CDTF">2026-09-10T09:23:37Z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{"Label":"1","ContentProducer":"001191110102MACQD9K64010000","ProduceID":"7664432127204265239","ReservedCode1":"","ContentPropagator":"","PropagateID":"","ReservedCode2":""}</vt:lpwstr>
  </property>
  <property fmtid="{D5CDD505-2E9C-101B-9397-08002B2CF9AE}" pid="3" name="KSOProductBuildVer">
    <vt:lpwstr>2052-12.1.0.28505</vt:lpwstr>
  </property>
  <property fmtid="{D5CDD505-2E9C-101B-9397-08002B2CF9AE}" pid="4" name="ICV">
    <vt:lpwstr>0D2916AEC5424581A5608B62759E99C1_13</vt:lpwstr>
  </property>
  <property fmtid="{D5CDD505-2E9C-101B-9397-08002B2CF9AE}" pid="5" name="KSOTemplateDocerSaveRecord">
    <vt:lpwstr>eyJoZGlkIjoiNmE3NDA5OGZjM2MzMGIzYWZlZDM5NTYzNmQ4OWExYjgiLCJ1c2VySWQiOiIxMzAzODQ2MDI2In0=</vt:lpwstr>
  </property>
</Properties>
</file>