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FF37338">
      <w:pPr>
        <w:pStyle w:val="2"/>
        <w:spacing w:line="260" w:lineRule="auto"/>
        <w:rPr>
          <w:rFonts w:hint="eastAsia" w:ascii="Times New Roman" w:hAnsi="Times New Roman" w:eastAsia="方正仿宋_GBK" w:cs="Times New Roman"/>
          <w:snapToGrid w:val="0"/>
          <w:color w:val="000000"/>
          <w:kern w:val="0"/>
          <w:sz w:val="32"/>
          <w:szCs w:val="21"/>
          <w:lang w:val="en-US" w:eastAsia="zh-CN" w:bidi="ar-SA"/>
        </w:rPr>
      </w:pPr>
    </w:p>
    <w:p w14:paraId="69BE2871">
      <w:pPr>
        <w:pStyle w:val="2"/>
        <w:spacing w:line="260" w:lineRule="auto"/>
        <w:rPr>
          <w:rFonts w:hint="eastAsia" w:ascii="Times New Roman" w:hAnsi="Times New Roman" w:eastAsia="方正仿宋_GBK" w:cs="Times New Roman"/>
          <w:snapToGrid w:val="0"/>
          <w:color w:val="000000"/>
          <w:kern w:val="0"/>
          <w:sz w:val="32"/>
          <w:szCs w:val="21"/>
          <w:lang w:val="en-US" w:eastAsia="zh-CN" w:bidi="ar-SA"/>
        </w:rPr>
      </w:pPr>
    </w:p>
    <w:p w14:paraId="25331343">
      <w:pPr>
        <w:spacing w:before="223" w:line="240" w:lineRule="auto"/>
        <w:ind w:left="231"/>
        <w:jc w:val="center"/>
        <w:rPr>
          <w:rFonts w:hint="eastAsia" w:ascii="方正小标宋_GBK" w:hAnsi="方正小标宋_GBK" w:eastAsia="方正小标宋_GBK" w:cs="方正小标宋_GBK"/>
          <w:spacing w:val="-2"/>
          <w:sz w:val="40"/>
          <w:szCs w:val="40"/>
          <w:lang w:val="en-US" w:eastAsia="zh-CN"/>
        </w:rPr>
      </w:pPr>
      <w:bookmarkStart w:id="0" w:name="_GoBack"/>
      <w:r>
        <w:rPr>
          <w:rFonts w:hint="eastAsia" w:ascii="方正小标宋_GBK" w:hAnsi="方正小标宋_GBK" w:eastAsia="方正小标宋_GBK" w:cs="方正小标宋_GBK"/>
          <w:spacing w:val="-2"/>
          <w:sz w:val="40"/>
          <w:szCs w:val="40"/>
          <w:lang w:val="en-US" w:eastAsia="zh-CN"/>
        </w:rPr>
        <w:t>关于《察雅县国土空间总体规划动态维护方案（2026 年度）》的公示</w:t>
      </w:r>
    </w:p>
    <w:p w14:paraId="25DCD218">
      <w:pPr>
        <w:pStyle w:val="2"/>
        <w:spacing w:line="260" w:lineRule="auto"/>
        <w:rPr>
          <w:rFonts w:hint="eastAsia" w:ascii="Times New Roman" w:hAnsi="Times New Roman" w:eastAsia="方正仿宋_GBK" w:cs="Times New Roman"/>
          <w:snapToGrid w:val="0"/>
          <w:color w:val="000000"/>
          <w:kern w:val="0"/>
          <w:sz w:val="32"/>
          <w:szCs w:val="21"/>
          <w:lang w:val="en-US" w:eastAsia="zh-CN" w:bidi="ar-SA"/>
        </w:rPr>
      </w:pPr>
    </w:p>
    <w:p w14:paraId="2C87412F">
      <w:pPr>
        <w:pStyle w:val="2"/>
        <w:spacing w:line="260" w:lineRule="auto"/>
        <w:ind w:firstLine="640" w:firstLineChars="200"/>
        <w:rPr>
          <w:rFonts w:hint="eastAsia" w:ascii="Times New Roman" w:hAnsi="Times New Roman" w:eastAsia="方正仿宋_GBK" w:cs="Times New Roman"/>
          <w:snapToGrid w:val="0"/>
          <w:color w:val="000000"/>
          <w:kern w:val="0"/>
          <w:sz w:val="32"/>
          <w:szCs w:val="21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snapToGrid w:val="0"/>
          <w:color w:val="000000"/>
          <w:kern w:val="0"/>
          <w:sz w:val="32"/>
          <w:szCs w:val="21"/>
          <w:lang w:val="en-US" w:eastAsia="zh-CN" w:bidi="ar-SA"/>
        </w:rPr>
        <w:t>为贯彻党的二十届四中全会精神，按照国家、西藏自治区关于国土空间总体规划动态维护工作的统一安排部署，察雅县人民政府组织编制了《察雅县国土空间总体规划动态维护方案（2026 年度）》（以下简称《方案》）。</w:t>
      </w:r>
    </w:p>
    <w:p w14:paraId="1EEEC4C0">
      <w:pPr>
        <w:pStyle w:val="2"/>
        <w:spacing w:line="260" w:lineRule="auto"/>
        <w:ind w:firstLine="640" w:firstLineChars="200"/>
        <w:rPr>
          <w:rFonts w:hint="eastAsia" w:ascii="Times New Roman" w:hAnsi="Times New Roman" w:eastAsia="方正仿宋_GBK" w:cs="Times New Roman"/>
          <w:snapToGrid w:val="0"/>
          <w:color w:val="000000"/>
          <w:kern w:val="0"/>
          <w:sz w:val="32"/>
          <w:szCs w:val="21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snapToGrid w:val="0"/>
          <w:color w:val="000000"/>
          <w:kern w:val="0"/>
          <w:sz w:val="32"/>
          <w:szCs w:val="21"/>
          <w:lang w:val="en-US" w:eastAsia="zh-CN" w:bidi="ar-SA"/>
        </w:rPr>
        <w:t>为进一步提高《方案》的科学性、合理性和可实施性，现就《方案》予以公示，面向社会公开征求意见，欢迎有关单位和社会各界人士提出宝贵意见和建议。</w:t>
      </w:r>
    </w:p>
    <w:p w14:paraId="05B8E585">
      <w:pPr>
        <w:pStyle w:val="2"/>
        <w:spacing w:line="260" w:lineRule="auto"/>
        <w:rPr>
          <w:rFonts w:hint="eastAsia" w:ascii="Times New Roman" w:hAnsi="Times New Roman" w:eastAsia="方正仿宋_GBK" w:cs="Times New Roman"/>
          <w:snapToGrid w:val="0"/>
          <w:color w:val="000000"/>
          <w:kern w:val="0"/>
          <w:sz w:val="32"/>
          <w:szCs w:val="21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snapToGrid w:val="0"/>
          <w:color w:val="000000"/>
          <w:kern w:val="0"/>
          <w:sz w:val="32"/>
          <w:szCs w:val="21"/>
          <w:lang w:val="en-US" w:eastAsia="zh-CN" w:bidi="ar-SA"/>
        </w:rPr>
        <w:t>一、公示时间</w:t>
      </w:r>
    </w:p>
    <w:p w14:paraId="3227C8BA">
      <w:pPr>
        <w:pStyle w:val="2"/>
        <w:spacing w:line="260" w:lineRule="auto"/>
        <w:ind w:firstLine="640" w:firstLineChars="200"/>
        <w:rPr>
          <w:rFonts w:hint="eastAsia" w:ascii="Times New Roman" w:hAnsi="Times New Roman" w:eastAsia="方正仿宋_GBK" w:cs="Times New Roman"/>
          <w:snapToGrid w:val="0"/>
          <w:color w:val="000000"/>
          <w:kern w:val="0"/>
          <w:sz w:val="32"/>
          <w:szCs w:val="21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snapToGrid w:val="0"/>
          <w:color w:val="000000"/>
          <w:kern w:val="0"/>
          <w:sz w:val="32"/>
          <w:szCs w:val="21"/>
          <w:lang w:val="en-US" w:eastAsia="zh-CN" w:bidi="ar-SA"/>
        </w:rPr>
        <w:t>2026年5月18日至2026年5月22日</w:t>
      </w:r>
    </w:p>
    <w:p w14:paraId="0393886B">
      <w:pPr>
        <w:pStyle w:val="2"/>
        <w:spacing w:line="260" w:lineRule="auto"/>
        <w:rPr>
          <w:rFonts w:hint="eastAsia" w:ascii="Times New Roman" w:hAnsi="Times New Roman" w:eastAsia="方正仿宋_GBK" w:cs="Times New Roman"/>
          <w:snapToGrid w:val="0"/>
          <w:color w:val="000000"/>
          <w:kern w:val="0"/>
          <w:sz w:val="32"/>
          <w:szCs w:val="21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snapToGrid w:val="0"/>
          <w:color w:val="000000"/>
          <w:kern w:val="0"/>
          <w:sz w:val="32"/>
          <w:szCs w:val="21"/>
          <w:lang w:val="en-US" w:eastAsia="zh-CN" w:bidi="ar-SA"/>
        </w:rPr>
        <w:t>二、反馈方式</w:t>
      </w:r>
    </w:p>
    <w:p w14:paraId="0B7D2741">
      <w:pPr>
        <w:pStyle w:val="2"/>
        <w:spacing w:line="260" w:lineRule="auto"/>
        <w:ind w:firstLine="640" w:firstLineChars="200"/>
        <w:rPr>
          <w:rFonts w:hint="eastAsia" w:ascii="Times New Roman" w:hAnsi="Times New Roman" w:eastAsia="方正仿宋_GBK" w:cs="Times New Roman"/>
          <w:snapToGrid w:val="0"/>
          <w:color w:val="000000"/>
          <w:kern w:val="0"/>
          <w:sz w:val="32"/>
          <w:szCs w:val="21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snapToGrid w:val="0"/>
          <w:color w:val="000000"/>
          <w:kern w:val="0"/>
          <w:sz w:val="32"/>
          <w:szCs w:val="21"/>
          <w:lang w:val="en-US" w:eastAsia="zh-CN" w:bidi="ar-SA"/>
        </w:rPr>
        <w:t>个人以书面或电子邮件形式反馈，注明联系人、联系方式；单位须以书面形式反馈并加盖单位公章。请在邮件名称上注明“察雅县国土空间总体规划动态维护方案（2026 年度）（公示稿）公示意见建议”字样。</w:t>
      </w:r>
    </w:p>
    <w:p w14:paraId="1A5FF70D">
      <w:pPr>
        <w:pStyle w:val="2"/>
        <w:spacing w:line="260" w:lineRule="auto"/>
        <w:rPr>
          <w:rFonts w:hint="default" w:ascii="Times New Roman" w:hAnsi="Times New Roman" w:eastAsia="方正仿宋_GBK" w:cs="Times New Roman"/>
          <w:snapToGrid w:val="0"/>
          <w:color w:val="000000"/>
          <w:kern w:val="0"/>
          <w:sz w:val="32"/>
          <w:szCs w:val="21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snapToGrid w:val="0"/>
          <w:color w:val="000000"/>
          <w:kern w:val="0"/>
          <w:sz w:val="32"/>
          <w:szCs w:val="21"/>
          <w:lang w:val="en-US" w:eastAsia="zh-CN" w:bidi="ar-SA"/>
        </w:rPr>
        <w:t>三、联系电话：</w:t>
      </w:r>
      <w:r>
        <w:rPr>
          <w:rFonts w:hint="eastAsia" w:ascii="Times New Roman" w:hAnsi="Times New Roman" w:eastAsia="方正仿宋_GBK" w:cs="Times New Roman"/>
          <w:snapToGrid w:val="0"/>
          <w:color w:val="000000"/>
          <w:kern w:val="0"/>
          <w:sz w:val="32"/>
          <w:szCs w:val="21"/>
          <w:highlight w:val="yellow"/>
          <w:lang w:val="en-US" w:eastAsia="zh-CN" w:bidi="ar-SA"/>
        </w:rPr>
        <w:t>0895-4602110</w:t>
      </w:r>
    </w:p>
    <w:p w14:paraId="37B21CFD">
      <w:pPr>
        <w:pStyle w:val="2"/>
        <w:spacing w:line="260" w:lineRule="auto"/>
        <w:rPr>
          <w:rFonts w:hint="eastAsia" w:ascii="Times New Roman" w:hAnsi="Times New Roman" w:eastAsia="方正仿宋_GBK" w:cs="Times New Roman"/>
          <w:snapToGrid w:val="0"/>
          <w:color w:val="000000"/>
          <w:kern w:val="0"/>
          <w:sz w:val="32"/>
          <w:szCs w:val="21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snapToGrid w:val="0"/>
          <w:color w:val="000000"/>
          <w:kern w:val="0"/>
          <w:sz w:val="32"/>
          <w:szCs w:val="21"/>
          <w:lang w:val="en-US" w:eastAsia="zh-CN" w:bidi="ar-SA"/>
        </w:rPr>
        <w:t>四、联系地址：</w:t>
      </w:r>
      <w:r>
        <w:rPr>
          <w:rFonts w:hint="eastAsia" w:ascii="Times New Roman" w:hAnsi="Times New Roman" w:eastAsia="方正仿宋_GBK" w:cs="Times New Roman"/>
          <w:snapToGrid w:val="0"/>
          <w:color w:val="000000"/>
          <w:kern w:val="0"/>
          <w:sz w:val="32"/>
          <w:szCs w:val="21"/>
          <w:highlight w:val="yellow"/>
          <w:lang w:val="en-US" w:eastAsia="zh-CN" w:bidi="ar-SA"/>
        </w:rPr>
        <w:t>西藏自治区昌都市察雅县烟多镇幸福街16号</w:t>
      </w:r>
      <w:r>
        <w:rPr>
          <w:rFonts w:hint="eastAsia" w:ascii="Times New Roman" w:hAnsi="Times New Roman" w:eastAsia="方正仿宋_GBK" w:cs="Times New Roman"/>
          <w:snapToGrid w:val="0"/>
          <w:color w:val="000000"/>
          <w:kern w:val="0"/>
          <w:sz w:val="32"/>
          <w:szCs w:val="21"/>
          <w:lang w:val="en-US" w:eastAsia="zh-CN" w:bidi="ar-SA"/>
        </w:rPr>
        <w:t>‌‌‌</w:t>
      </w:r>
    </w:p>
    <w:p w14:paraId="1C5F7C2B">
      <w:pPr>
        <w:pStyle w:val="2"/>
        <w:spacing w:line="260" w:lineRule="auto"/>
        <w:rPr>
          <w:rFonts w:hint="eastAsia" w:ascii="Times New Roman" w:hAnsi="Times New Roman" w:eastAsia="方正仿宋_GBK" w:cs="Times New Roman"/>
          <w:snapToGrid w:val="0"/>
          <w:color w:val="000000"/>
          <w:kern w:val="0"/>
          <w:sz w:val="32"/>
          <w:szCs w:val="21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snapToGrid w:val="0"/>
          <w:color w:val="000000"/>
          <w:kern w:val="0"/>
          <w:sz w:val="32"/>
          <w:szCs w:val="21"/>
          <w:lang w:val="en-US" w:eastAsia="zh-CN" w:bidi="ar-SA"/>
        </w:rPr>
        <w:t>五、电子邮箱：</w:t>
      </w:r>
      <w:r>
        <w:rPr>
          <w:rFonts w:hint="eastAsia" w:ascii="Times New Roman" w:hAnsi="Times New Roman" w:eastAsia="方正仿宋_GBK" w:cs="Times New Roman"/>
          <w:snapToGrid w:val="0"/>
          <w:color w:val="000000"/>
          <w:kern w:val="0"/>
          <w:sz w:val="32"/>
          <w:szCs w:val="21"/>
          <w:highlight w:val="yellow"/>
          <w:lang w:val="en-US" w:eastAsia="zh-CN" w:bidi="ar-SA"/>
        </w:rPr>
        <w:t>sjzkjghk@163.com</w:t>
      </w:r>
    </w:p>
    <w:p w14:paraId="36C8070E">
      <w:pPr>
        <w:pStyle w:val="2"/>
        <w:spacing w:line="260" w:lineRule="auto"/>
        <w:rPr>
          <w:rFonts w:hint="eastAsia" w:ascii="Times New Roman" w:hAnsi="Times New Roman" w:eastAsia="方正仿宋_GBK" w:cs="Times New Roman"/>
          <w:snapToGrid w:val="0"/>
          <w:color w:val="000000"/>
          <w:kern w:val="0"/>
          <w:sz w:val="32"/>
          <w:szCs w:val="21"/>
          <w:lang w:val="en-US" w:eastAsia="zh-CN" w:bidi="ar-SA"/>
        </w:rPr>
      </w:pPr>
    </w:p>
    <w:p w14:paraId="57B0D75D">
      <w:pPr>
        <w:pStyle w:val="2"/>
        <w:spacing w:line="260" w:lineRule="auto"/>
        <w:rPr>
          <w:rFonts w:hint="eastAsia" w:ascii="Times New Roman" w:hAnsi="Times New Roman" w:eastAsia="方正仿宋_GBK" w:cs="Times New Roman"/>
          <w:snapToGrid w:val="0"/>
          <w:color w:val="000000"/>
          <w:kern w:val="0"/>
          <w:sz w:val="32"/>
          <w:szCs w:val="21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snapToGrid w:val="0"/>
          <w:color w:val="000000"/>
          <w:kern w:val="0"/>
          <w:sz w:val="32"/>
          <w:szCs w:val="21"/>
          <w:lang w:val="en-US" w:eastAsia="zh-CN" w:bidi="ar-SA"/>
        </w:rPr>
        <w:t>附件：察雅县国土空间总体规划动态维护方案（2026 年度）（公示稿）</w:t>
      </w:r>
    </w:p>
    <w:bookmarkEnd w:id="0"/>
    <w:p w14:paraId="0EA09784">
      <w:pPr>
        <w:pStyle w:val="2"/>
        <w:spacing w:line="260" w:lineRule="auto"/>
      </w:pPr>
    </w:p>
    <w:p w14:paraId="2B9F3148">
      <w:pPr>
        <w:pStyle w:val="2"/>
        <w:spacing w:line="260" w:lineRule="auto"/>
      </w:pPr>
    </w:p>
    <w:p w14:paraId="7BBE5492">
      <w:pPr>
        <w:pStyle w:val="2"/>
        <w:spacing w:line="260" w:lineRule="auto"/>
      </w:pPr>
    </w:p>
    <w:p w14:paraId="6689496B">
      <w:pPr>
        <w:pStyle w:val="2"/>
        <w:spacing w:line="260" w:lineRule="auto"/>
      </w:pPr>
    </w:p>
    <w:p w14:paraId="711B0CB2">
      <w:pPr>
        <w:pStyle w:val="2"/>
        <w:spacing w:line="260" w:lineRule="auto"/>
      </w:pPr>
    </w:p>
    <w:p w14:paraId="039FA2B9">
      <w:pPr>
        <w:pStyle w:val="2"/>
        <w:spacing w:line="260" w:lineRule="auto"/>
      </w:pPr>
    </w:p>
    <w:p w14:paraId="0C3D9FD0">
      <w:pPr>
        <w:spacing w:before="223" w:line="240" w:lineRule="auto"/>
        <w:ind w:left="231"/>
        <w:jc w:val="center"/>
        <w:rPr>
          <w:rFonts w:hint="eastAsia" w:ascii="方正小标宋_GBK" w:hAnsi="方正小标宋_GBK" w:eastAsia="方正小标宋_GBK" w:cs="方正小标宋_GBK"/>
          <w:spacing w:val="-2"/>
          <w:sz w:val="52"/>
          <w:szCs w:val="52"/>
          <w:lang w:eastAsia="zh-CN"/>
        </w:rPr>
      </w:pPr>
    </w:p>
    <w:p w14:paraId="2EB1E97C">
      <w:pPr>
        <w:spacing w:before="223" w:line="240" w:lineRule="auto"/>
        <w:ind w:left="231"/>
        <w:jc w:val="center"/>
        <w:rPr>
          <w:rFonts w:hint="eastAsia" w:ascii="方正小标宋_GBK" w:hAnsi="方正小标宋_GBK" w:eastAsia="方正小标宋_GBK" w:cs="方正小标宋_GBK"/>
          <w:spacing w:val="-2"/>
          <w:sz w:val="52"/>
          <w:szCs w:val="52"/>
          <w:lang w:eastAsia="zh-CN"/>
        </w:rPr>
      </w:pPr>
    </w:p>
    <w:p w14:paraId="31C0E710">
      <w:pPr>
        <w:spacing w:before="223" w:line="240" w:lineRule="auto"/>
        <w:ind w:left="231"/>
        <w:jc w:val="center"/>
        <w:rPr>
          <w:rFonts w:hint="eastAsia" w:ascii="方正小标宋_GBK" w:hAnsi="方正小标宋_GBK" w:eastAsia="方正小标宋_GBK" w:cs="方正小标宋_GBK"/>
          <w:spacing w:val="-2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pacing w:val="-2"/>
          <w:sz w:val="44"/>
          <w:szCs w:val="44"/>
          <w:lang w:eastAsia="zh-CN"/>
        </w:rPr>
        <w:t>察雅县</w:t>
      </w:r>
      <w:r>
        <w:rPr>
          <w:rFonts w:hint="eastAsia" w:ascii="方正小标宋_GBK" w:hAnsi="方正小标宋_GBK" w:eastAsia="方正小标宋_GBK" w:cs="方正小标宋_GBK"/>
          <w:spacing w:val="-2"/>
          <w:sz w:val="44"/>
          <w:szCs w:val="44"/>
        </w:rPr>
        <w:t>国土空间总体规划动态维护方案</w:t>
      </w:r>
    </w:p>
    <w:p w14:paraId="57033122">
      <w:pPr>
        <w:spacing w:before="223" w:line="240" w:lineRule="auto"/>
        <w:ind w:left="231"/>
        <w:jc w:val="center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pacing w:val="-2"/>
          <w:sz w:val="44"/>
          <w:szCs w:val="44"/>
          <w:lang w:eastAsia="zh-CN"/>
        </w:rPr>
        <w:t>（</w:t>
      </w:r>
      <w:r>
        <w:rPr>
          <w:rFonts w:hint="eastAsia" w:ascii="方正小标宋_GBK" w:hAnsi="方正小标宋_GBK" w:eastAsia="方正小标宋_GBK" w:cs="方正小标宋_GBK"/>
          <w:spacing w:val="-2"/>
          <w:sz w:val="44"/>
          <w:szCs w:val="44"/>
        </w:rPr>
        <w:t>2026 年度</w:t>
      </w:r>
      <w:r>
        <w:rPr>
          <w:rFonts w:hint="eastAsia" w:ascii="方正小标宋_GBK" w:hAnsi="方正小标宋_GBK" w:eastAsia="方正小标宋_GBK" w:cs="方正小标宋_GBK"/>
          <w:spacing w:val="-2"/>
          <w:sz w:val="44"/>
          <w:szCs w:val="44"/>
          <w:lang w:eastAsia="zh-CN"/>
        </w:rPr>
        <w:t>）</w:t>
      </w:r>
    </w:p>
    <w:p w14:paraId="5FF76403">
      <w:pPr>
        <w:spacing w:before="13" w:line="227" w:lineRule="auto"/>
        <w:ind w:left="3357"/>
        <w:rPr>
          <w:rFonts w:ascii="楷体" w:hAnsi="楷体" w:eastAsia="楷体" w:cs="楷体"/>
          <w:spacing w:val="18"/>
          <w:sz w:val="35"/>
          <w:szCs w:val="35"/>
        </w:rPr>
      </w:pPr>
    </w:p>
    <w:p w14:paraId="76C12A36">
      <w:pPr>
        <w:spacing w:before="13" w:line="227" w:lineRule="auto"/>
        <w:ind w:left="3357"/>
        <w:rPr>
          <w:rFonts w:ascii="楷体" w:hAnsi="楷体" w:eastAsia="楷体" w:cs="楷体"/>
          <w:spacing w:val="18"/>
          <w:sz w:val="35"/>
          <w:szCs w:val="35"/>
        </w:rPr>
      </w:pPr>
    </w:p>
    <w:p w14:paraId="05266156">
      <w:pPr>
        <w:spacing w:before="13" w:line="227" w:lineRule="auto"/>
        <w:ind w:left="3357"/>
        <w:rPr>
          <w:rFonts w:ascii="楷体" w:hAnsi="楷体" w:eastAsia="楷体" w:cs="楷体"/>
          <w:spacing w:val="18"/>
          <w:sz w:val="35"/>
          <w:szCs w:val="35"/>
        </w:rPr>
      </w:pPr>
    </w:p>
    <w:p w14:paraId="53357CFB">
      <w:pPr>
        <w:spacing w:before="13" w:line="227" w:lineRule="auto"/>
        <w:ind w:left="3357"/>
        <w:rPr>
          <w:rFonts w:ascii="楷体" w:hAnsi="楷体" w:eastAsia="楷体" w:cs="楷体"/>
          <w:spacing w:val="18"/>
          <w:sz w:val="35"/>
          <w:szCs w:val="35"/>
        </w:rPr>
      </w:pPr>
    </w:p>
    <w:p w14:paraId="28CB1D67">
      <w:pPr>
        <w:spacing w:before="13" w:line="227" w:lineRule="auto"/>
        <w:ind w:left="3357"/>
        <w:rPr>
          <w:rFonts w:ascii="楷体" w:hAnsi="楷体" w:eastAsia="楷体" w:cs="楷体"/>
          <w:spacing w:val="18"/>
          <w:sz w:val="35"/>
          <w:szCs w:val="35"/>
        </w:rPr>
      </w:pPr>
    </w:p>
    <w:p w14:paraId="45D081B7">
      <w:pPr>
        <w:spacing w:before="13" w:line="227" w:lineRule="auto"/>
        <w:ind w:left="3357"/>
        <w:rPr>
          <w:rFonts w:ascii="楷体" w:hAnsi="楷体" w:eastAsia="楷体" w:cs="楷体"/>
          <w:spacing w:val="18"/>
          <w:sz w:val="35"/>
          <w:szCs w:val="35"/>
        </w:rPr>
      </w:pPr>
    </w:p>
    <w:p w14:paraId="1BDF66CF">
      <w:pPr>
        <w:spacing w:before="13" w:line="227" w:lineRule="auto"/>
        <w:ind w:left="3357"/>
        <w:rPr>
          <w:rFonts w:ascii="楷体" w:hAnsi="楷体" w:eastAsia="楷体" w:cs="楷体"/>
          <w:sz w:val="35"/>
          <w:szCs w:val="35"/>
        </w:rPr>
      </w:pPr>
      <w:r>
        <w:rPr>
          <w:rFonts w:ascii="楷体" w:hAnsi="楷体" w:eastAsia="楷体" w:cs="楷体"/>
          <w:spacing w:val="18"/>
          <w:sz w:val="35"/>
          <w:szCs w:val="35"/>
        </w:rPr>
        <w:t>（公示稿）</w:t>
      </w:r>
    </w:p>
    <w:p w14:paraId="2CBFA08D">
      <w:pPr>
        <w:pStyle w:val="2"/>
        <w:spacing w:line="246" w:lineRule="auto"/>
      </w:pPr>
    </w:p>
    <w:p w14:paraId="13A8D4AF">
      <w:pPr>
        <w:pStyle w:val="2"/>
        <w:spacing w:line="246" w:lineRule="auto"/>
      </w:pPr>
    </w:p>
    <w:p w14:paraId="477A64B1">
      <w:pPr>
        <w:pStyle w:val="2"/>
        <w:spacing w:line="246" w:lineRule="auto"/>
      </w:pPr>
    </w:p>
    <w:p w14:paraId="7B38691C">
      <w:pPr>
        <w:pStyle w:val="2"/>
        <w:spacing w:line="246" w:lineRule="auto"/>
      </w:pPr>
    </w:p>
    <w:p w14:paraId="194CAE77">
      <w:pPr>
        <w:pStyle w:val="2"/>
        <w:spacing w:line="246" w:lineRule="auto"/>
      </w:pPr>
    </w:p>
    <w:p w14:paraId="32E844F0">
      <w:pPr>
        <w:pStyle w:val="2"/>
        <w:spacing w:line="246" w:lineRule="auto"/>
      </w:pPr>
    </w:p>
    <w:p w14:paraId="382F9658">
      <w:pPr>
        <w:pStyle w:val="2"/>
        <w:spacing w:line="247" w:lineRule="auto"/>
      </w:pPr>
    </w:p>
    <w:p w14:paraId="3BA9B4F8">
      <w:pPr>
        <w:pStyle w:val="2"/>
        <w:spacing w:line="247" w:lineRule="auto"/>
      </w:pPr>
    </w:p>
    <w:p w14:paraId="40013263">
      <w:pPr>
        <w:pStyle w:val="2"/>
        <w:spacing w:line="247" w:lineRule="auto"/>
      </w:pPr>
    </w:p>
    <w:p w14:paraId="05C569F7">
      <w:pPr>
        <w:pStyle w:val="2"/>
        <w:spacing w:line="247" w:lineRule="auto"/>
      </w:pPr>
    </w:p>
    <w:p w14:paraId="6E2322D2">
      <w:pPr>
        <w:pStyle w:val="2"/>
        <w:spacing w:line="247" w:lineRule="auto"/>
      </w:pPr>
    </w:p>
    <w:p w14:paraId="356BE6CE">
      <w:pPr>
        <w:pStyle w:val="2"/>
        <w:spacing w:line="247" w:lineRule="auto"/>
      </w:pPr>
    </w:p>
    <w:p w14:paraId="4CF825A5">
      <w:pPr>
        <w:pStyle w:val="2"/>
        <w:spacing w:line="247" w:lineRule="auto"/>
      </w:pPr>
    </w:p>
    <w:p w14:paraId="221C4849">
      <w:pPr>
        <w:pStyle w:val="2"/>
        <w:spacing w:line="247" w:lineRule="auto"/>
      </w:pPr>
    </w:p>
    <w:p w14:paraId="5B2FF37F">
      <w:pPr>
        <w:pStyle w:val="2"/>
        <w:spacing w:line="247" w:lineRule="auto"/>
      </w:pPr>
    </w:p>
    <w:p w14:paraId="3D52678F">
      <w:pPr>
        <w:pStyle w:val="2"/>
        <w:spacing w:line="247" w:lineRule="auto"/>
      </w:pPr>
    </w:p>
    <w:p w14:paraId="1BB03C6C">
      <w:pPr>
        <w:pStyle w:val="2"/>
        <w:spacing w:line="247" w:lineRule="auto"/>
      </w:pPr>
    </w:p>
    <w:p w14:paraId="042CE2AB">
      <w:pPr>
        <w:spacing w:before="101" w:line="223" w:lineRule="auto"/>
        <w:ind w:left="3169"/>
        <w:rPr>
          <w:rFonts w:ascii="楷体" w:hAnsi="楷体" w:eastAsia="楷体" w:cs="楷体"/>
          <w:sz w:val="31"/>
          <w:szCs w:val="31"/>
        </w:rPr>
      </w:pPr>
      <w:r>
        <w:rPr>
          <w:rFonts w:hint="eastAsia" w:ascii="楷体" w:hAnsi="楷体" w:eastAsia="楷体" w:cs="楷体"/>
          <w:spacing w:val="4"/>
          <w:sz w:val="31"/>
          <w:szCs w:val="31"/>
          <w:lang w:val="en-US" w:eastAsia="zh-CN"/>
        </w:rPr>
        <w:t>察雅县</w:t>
      </w:r>
      <w:r>
        <w:rPr>
          <w:rFonts w:ascii="楷体" w:hAnsi="楷体" w:eastAsia="楷体" w:cs="楷体"/>
          <w:spacing w:val="4"/>
          <w:sz w:val="31"/>
          <w:szCs w:val="31"/>
        </w:rPr>
        <w:t>人民政府</w:t>
      </w:r>
    </w:p>
    <w:p w14:paraId="5FCD99FF">
      <w:pPr>
        <w:spacing w:before="225" w:line="222" w:lineRule="auto"/>
        <w:ind w:left="3419"/>
        <w:rPr>
          <w:rFonts w:ascii="楷体" w:hAnsi="楷体" w:eastAsia="楷体" w:cs="楷体"/>
          <w:sz w:val="31"/>
          <w:szCs w:val="31"/>
        </w:rPr>
      </w:pPr>
      <w:r>
        <w:rPr>
          <w:rFonts w:ascii="Times New Roman" w:hAnsi="Times New Roman" w:eastAsia="Times New Roman" w:cs="Times New Roman"/>
          <w:spacing w:val="1"/>
          <w:sz w:val="31"/>
          <w:szCs w:val="31"/>
        </w:rPr>
        <w:t xml:space="preserve">2026 </w:t>
      </w:r>
      <w:r>
        <w:rPr>
          <w:rFonts w:ascii="楷体" w:hAnsi="楷体" w:eastAsia="楷体" w:cs="楷体"/>
          <w:spacing w:val="1"/>
          <w:sz w:val="31"/>
          <w:szCs w:val="31"/>
        </w:rPr>
        <w:t>年</w:t>
      </w:r>
      <w:r>
        <w:rPr>
          <w:rFonts w:ascii="楷体" w:hAnsi="楷体" w:eastAsia="楷体" w:cs="楷体"/>
          <w:spacing w:val="-56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1"/>
          <w:sz w:val="31"/>
          <w:szCs w:val="31"/>
        </w:rPr>
        <w:t>5</w:t>
      </w:r>
      <w:r>
        <w:rPr>
          <w:rFonts w:ascii="Times New Roman" w:hAnsi="Times New Roman" w:eastAsia="Times New Roman" w:cs="Times New Roman"/>
          <w:spacing w:val="33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1"/>
          <w:sz w:val="31"/>
          <w:szCs w:val="31"/>
        </w:rPr>
        <w:t>月</w:t>
      </w:r>
    </w:p>
    <w:p w14:paraId="6011F2D4">
      <w:pPr>
        <w:spacing w:line="222" w:lineRule="auto"/>
        <w:rPr>
          <w:rFonts w:ascii="楷体" w:hAnsi="楷体" w:eastAsia="楷体" w:cs="楷体"/>
          <w:sz w:val="31"/>
          <w:szCs w:val="31"/>
        </w:rPr>
        <w:sectPr>
          <w:pgSz w:w="11906" w:h="16838"/>
          <w:pgMar w:top="1431" w:right="1785" w:bottom="0" w:left="1785" w:header="0" w:footer="0" w:gutter="0"/>
          <w:cols w:space="720" w:num="1"/>
        </w:sectPr>
      </w:pPr>
    </w:p>
    <w:p w14:paraId="5F1C9391">
      <w:pPr>
        <w:spacing w:line="360" w:lineRule="auto"/>
        <w:ind w:firstLine="640"/>
        <w:rPr>
          <w:rFonts w:hint="eastAsia" w:ascii="方正仿宋_GB2312" w:hAnsi="方正仿宋_GB2312" w:eastAsia="方正仿宋_GB2312" w:cs="方正仿宋_GB2312"/>
          <w:sz w:val="32"/>
          <w:lang w:val="en-US" w:eastAsia="zh-CN"/>
        </w:rPr>
      </w:pPr>
    </w:p>
    <w:p w14:paraId="4998E7FE">
      <w:pPr>
        <w:spacing w:line="360" w:lineRule="auto"/>
        <w:ind w:firstLine="640"/>
        <w:rPr>
          <w:rFonts w:hint="eastAsia" w:ascii="方正仿宋_GB2312" w:hAnsi="方正仿宋_GB2312" w:eastAsia="方正仿宋_GB2312" w:cs="方正仿宋_GB2312"/>
          <w:sz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lang w:val="en-US" w:eastAsia="zh-CN"/>
        </w:rPr>
        <w:t>本次动态维护工作基于《2024年察雅县国土空间规划城市体检评估》的相关结论与建议，严守空间安全底线，不突破总体规划确定的保护目标、空间结构与强制性内容。维护方案聚焦目标战略深化落实、功能格局持续稳定、空间要素精准保障，着力支撑“十五五”规划实施，优先化解项目落地空间矛盾，为察雅县经济社会高质量发展提供坚实的国土空间规划支撑。</w:t>
      </w:r>
    </w:p>
    <w:p w14:paraId="509BDC3B">
      <w:pPr>
        <w:spacing w:before="147" w:line="360" w:lineRule="auto"/>
        <w:ind w:left="671"/>
        <w:rPr>
          <w:rFonts w:hint="eastAsia" w:ascii="方正仿宋_GB2312" w:hAnsi="方正仿宋_GB2312" w:eastAsia="方正仿宋_GB2312" w:cs="方正仿宋_GB2312"/>
          <w:sz w:val="31"/>
          <w:szCs w:val="31"/>
        </w:rPr>
      </w:pPr>
      <w:r>
        <w:rPr>
          <w:rFonts w:hint="eastAsia" w:ascii="方正仿宋_GB2312" w:hAnsi="方正仿宋_GB2312" w:eastAsia="方正仿宋_GB2312" w:cs="方正仿宋_GB2312"/>
          <w:b/>
          <w:bCs/>
          <w:spacing w:val="4"/>
          <w:position w:val="1"/>
          <w:sz w:val="31"/>
          <w:szCs w:val="31"/>
        </w:rPr>
        <w:t>一、正向优化三条控制线</w:t>
      </w:r>
    </w:p>
    <w:p w14:paraId="7E2F3676">
      <w:pPr>
        <w:spacing w:line="360" w:lineRule="auto"/>
        <w:ind w:firstLine="640"/>
        <w:rPr>
          <w:rFonts w:hint="eastAsia" w:ascii="方正仿宋_GB2312" w:hAnsi="方正仿宋_GB2312" w:eastAsia="方正仿宋_GB2312" w:cs="方正仿宋_GB2312"/>
          <w:sz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lang w:val="en-US" w:eastAsia="zh-CN"/>
        </w:rPr>
        <w:t>永久基本农田“优进劣出”。以优化农业生产力布局、促进适度规模经营为目标，衔接耕地保护和国土绿化空间专项规划，动态维护永久基本农田，维护后总面积10.12万亩，不低于永久基本农田保护任务，确保总量不减少、质量有提升、布局更合理、集中连片度有提高。</w:t>
      </w:r>
    </w:p>
    <w:p w14:paraId="3E2EAE3C">
      <w:pPr>
        <w:spacing w:line="360" w:lineRule="auto"/>
        <w:ind w:firstLine="640"/>
        <w:rPr>
          <w:rFonts w:hint="eastAsia" w:ascii="方正仿宋_GB2312" w:hAnsi="方正仿宋_GB2312" w:eastAsia="方正仿宋_GB2312" w:cs="方正仿宋_GB2312"/>
          <w:sz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lang w:val="en-US" w:eastAsia="zh-CN"/>
        </w:rPr>
        <w:t>生态保护红线“整合优化”。以巩固生态保护格局、提升生态系统完整性为目标，动态维护生态保护红线，维护后总面积2417.04平方千米，确保生态保护红线面积不减少、功能不降低。</w:t>
      </w:r>
    </w:p>
    <w:p w14:paraId="45DCA73A">
      <w:pPr>
        <w:spacing w:line="360" w:lineRule="auto"/>
        <w:ind w:firstLine="640"/>
        <w:rPr>
          <w:rFonts w:hint="eastAsia" w:ascii="方正仿宋_GB2312" w:hAnsi="方正仿宋_GB2312" w:eastAsia="方正仿宋_GB2312" w:cs="方正仿宋_GB2312"/>
          <w:sz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lang w:val="en-US" w:eastAsia="zh-CN"/>
        </w:rPr>
        <w:t>城镇开发边界“集聚增效”。以优化城镇发展格局、增强城镇发展动能为目标，在严守城镇开发边界扩展倍数的前提下，重点围绕“十五五”项目落地，以及公共服务设施及基础设施一体化，动态维护城镇开发边界，维护后扩展倍数保持1.25不变。</w:t>
      </w:r>
    </w:p>
    <w:p w14:paraId="1263E871">
      <w:pPr>
        <w:spacing w:before="3" w:line="360" w:lineRule="auto"/>
        <w:ind w:left="735"/>
        <w:rPr>
          <w:rFonts w:hint="eastAsia" w:ascii="方正仿宋_GB2312" w:hAnsi="方正仿宋_GB2312" w:eastAsia="方正仿宋_GB2312" w:cs="方正仿宋_GB2312"/>
          <w:b/>
          <w:bCs/>
          <w:spacing w:val="5"/>
          <w:position w:val="1"/>
          <w:sz w:val="31"/>
          <w:szCs w:val="31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pacing w:val="5"/>
          <w:position w:val="1"/>
          <w:sz w:val="31"/>
          <w:szCs w:val="31"/>
          <w:lang w:val="en-US" w:eastAsia="zh-CN"/>
        </w:rPr>
        <w:t>二、合理优化规划分区</w:t>
      </w:r>
    </w:p>
    <w:p w14:paraId="3A354A40">
      <w:pPr>
        <w:spacing w:line="360" w:lineRule="auto"/>
        <w:ind w:firstLine="640"/>
        <w:rPr>
          <w:rFonts w:hint="eastAsia" w:ascii="方正仿宋_GB2312" w:hAnsi="方正仿宋_GB2312" w:eastAsia="方正仿宋_GB2312" w:cs="方正仿宋_GB2312"/>
          <w:sz w:val="31"/>
          <w:szCs w:val="31"/>
        </w:rPr>
      </w:pPr>
      <w:r>
        <w:rPr>
          <w:rFonts w:hint="eastAsia" w:ascii="方正仿宋_GB2312" w:hAnsi="方正仿宋_GB2312" w:eastAsia="方正仿宋_GB2312" w:cs="方正仿宋_GB2312"/>
          <w:sz w:val="32"/>
          <w:lang w:val="en-US" w:eastAsia="zh-CN"/>
        </w:rPr>
        <w:t>依据永久基本农田、生态保护红线、城镇开发边界的动态维护优化成果，以空间战略格局优化为导向，对农田保护区、生态保护区、城镇发展区进行优化调整，并同步联动优化乡村发展区等布局，确保各分区主导功能稳定、空间布局集中连片、整体格局完整联通。</w:t>
      </w:r>
    </w:p>
    <w:p w14:paraId="5D5E11CA">
      <w:pPr>
        <w:spacing w:before="3" w:line="360" w:lineRule="auto"/>
        <w:ind w:left="735"/>
        <w:rPr>
          <w:rFonts w:hint="eastAsia" w:ascii="方正仿宋_GB2312" w:hAnsi="方正仿宋_GB2312" w:eastAsia="方正仿宋_GB2312" w:cs="方正仿宋_GB2312"/>
          <w:b/>
          <w:bCs/>
          <w:spacing w:val="5"/>
          <w:position w:val="1"/>
          <w:sz w:val="31"/>
          <w:szCs w:val="31"/>
        </w:rPr>
      </w:pPr>
      <w:r>
        <w:rPr>
          <w:rFonts w:hint="eastAsia" w:ascii="方正仿宋_GB2312" w:hAnsi="方正仿宋_GB2312" w:eastAsia="方正仿宋_GB2312" w:cs="方正仿宋_GB2312"/>
          <w:b/>
          <w:bCs/>
          <w:spacing w:val="5"/>
          <w:position w:val="1"/>
          <w:sz w:val="31"/>
          <w:szCs w:val="31"/>
        </w:rPr>
        <w:t>三、完善中心城区功能体系</w:t>
      </w:r>
    </w:p>
    <w:p w14:paraId="277D1D6E">
      <w:pPr>
        <w:spacing w:line="360" w:lineRule="auto"/>
        <w:ind w:firstLine="640"/>
        <w:rPr>
          <w:rFonts w:hint="eastAsia" w:ascii="方正仿宋_GB2312" w:hAnsi="方正仿宋_GB2312" w:eastAsia="方正仿宋_GB2312" w:cs="方正仿宋_GB2312"/>
          <w:sz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lang w:val="en-US" w:eastAsia="zh-CN"/>
        </w:rPr>
        <w:t>优化中心城区土地使用和功能布局，完善城市功能和优化空间结构。统筹各级生活圈建设，完善教育、医疗、养老等公共服务设施布局，完善蓝绿开敞空间系统，促进存量用地集约集聚，引导要素合理配置。</w:t>
      </w:r>
    </w:p>
    <w:p w14:paraId="76DD2099">
      <w:pPr>
        <w:spacing w:before="3" w:line="360" w:lineRule="auto"/>
        <w:ind w:left="689"/>
        <w:rPr>
          <w:rFonts w:hint="eastAsia" w:ascii="方正仿宋_GB2312" w:hAnsi="方正仿宋_GB2312" w:eastAsia="方正仿宋_GB2312" w:cs="方正仿宋_GB2312"/>
          <w:sz w:val="31"/>
          <w:szCs w:val="31"/>
        </w:rPr>
      </w:pPr>
      <w:r>
        <w:rPr>
          <w:rFonts w:hint="eastAsia" w:ascii="方正仿宋_GB2312" w:hAnsi="方正仿宋_GB2312" w:eastAsia="方正仿宋_GB2312" w:cs="方正仿宋_GB2312"/>
          <w:b/>
          <w:bCs/>
          <w:spacing w:val="4"/>
          <w:position w:val="1"/>
          <w:sz w:val="31"/>
          <w:szCs w:val="31"/>
        </w:rPr>
        <w:t>四、优化其他重要控制线</w:t>
      </w:r>
    </w:p>
    <w:p w14:paraId="0A5E4455">
      <w:pPr>
        <w:spacing w:line="360" w:lineRule="auto"/>
        <w:ind w:firstLine="640"/>
        <w:rPr>
          <w:rFonts w:hint="eastAsia" w:ascii="方正仿宋_GB2312" w:hAnsi="方正仿宋_GB2312" w:eastAsia="方正仿宋_GB2312" w:cs="方正仿宋_GB2312"/>
          <w:sz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lang w:val="en-US" w:eastAsia="zh-CN"/>
        </w:rPr>
        <w:t>在不改变国土空间总体规划确定的城市总体格局和空间结构前提下，按照确实有助于总体规划实施的原则，对中心城区城市绿线、蓝线、紫线、黄线等控制线规模和布局进行优化，相应调整完善控制线内部规划绿地、公共管理与公共服务、公用设施等用地规模和布局。</w:t>
      </w:r>
    </w:p>
    <w:p w14:paraId="35CA4C73">
      <w:pPr>
        <w:spacing w:before="3" w:line="360" w:lineRule="auto"/>
        <w:ind w:left="657"/>
        <w:rPr>
          <w:rFonts w:hint="eastAsia" w:ascii="方正仿宋_GB2312" w:hAnsi="方正仿宋_GB2312" w:eastAsia="方正仿宋_GB2312" w:cs="方正仿宋_GB2312"/>
          <w:sz w:val="31"/>
          <w:szCs w:val="31"/>
        </w:rPr>
      </w:pPr>
      <w:r>
        <w:rPr>
          <w:rFonts w:hint="eastAsia" w:ascii="方正仿宋_GB2312" w:hAnsi="方正仿宋_GB2312" w:eastAsia="方正仿宋_GB2312" w:cs="方正仿宋_GB2312"/>
          <w:b/>
          <w:bCs/>
          <w:spacing w:val="5"/>
          <w:position w:val="1"/>
          <w:sz w:val="31"/>
          <w:szCs w:val="31"/>
        </w:rPr>
        <w:t>五、更新</w:t>
      </w:r>
      <w:r>
        <w:rPr>
          <w:rFonts w:hint="eastAsia" w:ascii="方正仿宋_GB2312" w:hAnsi="方正仿宋_GB2312" w:eastAsia="方正仿宋_GB2312" w:cs="方正仿宋_GB2312"/>
          <w:b/>
          <w:bCs/>
          <w:spacing w:val="5"/>
          <w:position w:val="1"/>
          <w:sz w:val="31"/>
          <w:szCs w:val="31"/>
          <w:lang w:val="en-US" w:eastAsia="zh-CN"/>
        </w:rPr>
        <w:t>年度</w:t>
      </w:r>
      <w:r>
        <w:rPr>
          <w:rFonts w:hint="eastAsia" w:ascii="方正仿宋_GB2312" w:hAnsi="方正仿宋_GB2312" w:eastAsia="方正仿宋_GB2312" w:cs="方正仿宋_GB2312"/>
          <w:b/>
          <w:bCs/>
          <w:spacing w:val="5"/>
          <w:position w:val="1"/>
          <w:sz w:val="31"/>
          <w:szCs w:val="31"/>
        </w:rPr>
        <w:t>重点建设项目清单</w:t>
      </w:r>
    </w:p>
    <w:p w14:paraId="415BC7B0">
      <w:pPr>
        <w:spacing w:line="360" w:lineRule="auto"/>
        <w:ind w:firstLine="640"/>
        <w:rPr>
          <w:rFonts w:hint="eastAsia" w:ascii="方正仿宋_GB2312" w:hAnsi="方正仿宋_GB2312" w:eastAsia="方正仿宋_GB2312" w:cs="方正仿宋_GB2312"/>
          <w:sz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lang w:val="en-US" w:eastAsia="zh-CN"/>
        </w:rPr>
        <w:t xml:space="preserve">以“十五五”重大建设项目清单为基础，衔接各类专项规划，精准梳理基础扎实、实施条件成熟、实施诉求强烈的重点项目，全面开展能源、交通、电力、水利等重点领域项目增补与校核更新，强化项目空间保障，推动规划落地实施。  </w:t>
      </w:r>
    </w:p>
    <w:p w14:paraId="4D60ABF6">
      <w:pPr>
        <w:rPr>
          <w:rFonts w:ascii="微软雅黑" w:hAnsi="微软雅黑" w:eastAsia="微软雅黑" w:cs="微软雅黑"/>
          <w:spacing w:val="-1"/>
          <w:position w:val="-2"/>
          <w:sz w:val="40"/>
          <w:szCs w:val="40"/>
        </w:rPr>
      </w:pPr>
      <w:r>
        <w:rPr>
          <w:rFonts w:ascii="微软雅黑" w:hAnsi="微软雅黑" w:eastAsia="微软雅黑" w:cs="微软雅黑"/>
          <w:spacing w:val="-1"/>
          <w:position w:val="-2"/>
          <w:sz w:val="40"/>
          <w:szCs w:val="40"/>
        </w:rPr>
        <w:br w:type="page"/>
      </w:r>
    </w:p>
    <w:p w14:paraId="48A7FE8D">
      <w:pPr>
        <w:spacing w:before="223" w:line="240" w:lineRule="auto"/>
        <w:ind w:left="231"/>
        <w:jc w:val="left"/>
        <w:rPr>
          <w:rFonts w:hint="eastAsia" w:ascii="方正小标宋_GBK" w:hAnsi="方正小标宋_GBK" w:eastAsia="方正小标宋_GBK" w:cs="方正小标宋_GBK"/>
          <w:spacing w:val="-2"/>
          <w:sz w:val="40"/>
          <w:szCs w:val="40"/>
          <w:lang w:eastAsia="zh-CN"/>
        </w:rPr>
      </w:pPr>
      <w:r>
        <w:rPr>
          <w:rFonts w:hint="eastAsia" w:ascii="方正小标宋_GBK" w:hAnsi="方正小标宋_GBK" w:eastAsia="方正小标宋_GBK" w:cs="方正小标宋_GBK"/>
          <w:spacing w:val="-2"/>
          <w:sz w:val="40"/>
          <w:szCs w:val="40"/>
          <w:lang w:val="en-US" w:eastAsia="zh-CN"/>
        </w:rPr>
        <w:t>附件：</w:t>
      </w:r>
    </w:p>
    <w:p w14:paraId="08867146">
      <w:pPr>
        <w:spacing w:before="101" w:line="222" w:lineRule="auto"/>
        <w:ind w:left="49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图</w:t>
      </w:r>
      <w:r>
        <w:rPr>
          <w:rFonts w:ascii="仿宋" w:hAnsi="仿宋" w:eastAsia="仿宋" w:cs="仿宋"/>
          <w:spacing w:val="-32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>l</w:t>
      </w:r>
      <w:r>
        <w:rPr>
          <w:rFonts w:ascii="Times New Roman" w:hAnsi="Times New Roman" w:eastAsia="Times New Roman" w:cs="Times New Roman"/>
          <w:spacing w:val="20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4"/>
          <w:sz w:val="31"/>
          <w:szCs w:val="31"/>
        </w:rPr>
        <w:t>三条控制线维护前图</w:t>
      </w:r>
    </w:p>
    <w:p w14:paraId="4363BFC5">
      <w:pPr>
        <w:spacing w:before="251" w:line="222" w:lineRule="auto"/>
        <w:ind w:left="491"/>
        <w:rPr>
          <w:rFonts w:ascii="仿宋" w:hAnsi="仿宋" w:eastAsia="仿宋" w:cs="仿宋"/>
          <w:sz w:val="31"/>
          <w:szCs w:val="31"/>
        </w:rPr>
        <w:sectPr>
          <w:footerReference r:id="rId5" w:type="default"/>
          <w:pgSz w:w="11906" w:h="16838"/>
          <w:pgMar w:top="1424" w:right="1785" w:bottom="1151" w:left="1785" w:header="0" w:footer="968" w:gutter="0"/>
          <w:cols w:space="720" w:num="1"/>
        </w:sectPr>
      </w:pPr>
      <w:r>
        <w:rPr>
          <w:rFonts w:ascii="仿宋" w:hAnsi="仿宋" w:eastAsia="仿宋" w:cs="仿宋"/>
          <w:sz w:val="31"/>
          <w:szCs w:val="31"/>
        </w:rPr>
        <w:t>图</w:t>
      </w:r>
      <w:r>
        <w:rPr>
          <w:rFonts w:ascii="仿宋" w:hAnsi="仿宋" w:eastAsia="仿宋" w:cs="仿宋"/>
          <w:spacing w:val="-57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</w:rPr>
        <w:t>2</w:t>
      </w:r>
      <w:r>
        <w:rPr>
          <w:rFonts w:ascii="Times New Roman" w:hAnsi="Times New Roman" w:eastAsia="Times New Roman" w:cs="Times New Roman"/>
          <w:spacing w:val="20"/>
          <w:sz w:val="31"/>
          <w:szCs w:val="31"/>
        </w:rPr>
        <w:t xml:space="preserve">  </w:t>
      </w:r>
      <w:r>
        <w:rPr>
          <w:rFonts w:ascii="仿宋" w:hAnsi="仿宋" w:eastAsia="仿宋" w:cs="仿宋"/>
          <w:sz w:val="31"/>
          <w:szCs w:val="31"/>
        </w:rPr>
        <w:t>三条控制线维护后图</w:t>
      </w:r>
    </w:p>
    <w:p w14:paraId="3544BA92">
      <w:pPr>
        <w:spacing w:line="22388" w:lineRule="exact"/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-344805</wp:posOffset>
            </wp:positionV>
            <wp:extent cx="10692130" cy="7200265"/>
            <wp:effectExtent l="0" t="0" r="6350" b="8255"/>
            <wp:wrapTopAndBottom/>
            <wp:docPr id="1" name="图片 1" descr="C:/Users/husil/Desktop/察雅县图纸成果/01.jpg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husil/Desktop/察雅县图纸成果/01.jpg01"/>
                    <pic:cNvPicPr/>
                  </pic:nvPicPr>
                  <pic:blipFill>
                    <a:blip r:embed="rId9"/>
                    <a:srcRect l="2" r="2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2122A7">
      <w:pPr>
        <w:spacing w:line="22388" w:lineRule="exact"/>
        <w:rPr>
          <w:rFonts w:hint="eastAsia" w:eastAsia="宋体"/>
          <w:lang w:eastAsia="zh-CN"/>
        </w:rPr>
        <w:sectPr>
          <w:headerReference r:id="rId6" w:type="default"/>
          <w:footerReference r:id="rId7" w:type="default"/>
          <w:pgSz w:w="16838" w:h="11906" w:orient="landscape"/>
          <w:pgMar w:top="720" w:right="720" w:bottom="720" w:left="720" w:header="0" w:footer="0" w:gutter="0"/>
          <w:cols w:space="720" w:num="1"/>
        </w:sectPr>
      </w:pPr>
    </w:p>
    <w:p w14:paraId="7E974416">
      <w:pPr>
        <w:spacing w:line="22388" w:lineRule="exac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41275</wp:posOffset>
            </wp:positionH>
            <wp:positionV relativeFrom="paragraph">
              <wp:posOffset>51435</wp:posOffset>
            </wp:positionV>
            <wp:extent cx="10692130" cy="7200265"/>
            <wp:effectExtent l="0" t="0" r="6350" b="8255"/>
            <wp:wrapSquare wrapText="bothSides"/>
            <wp:docPr id="2" name="图片 2" descr="C:/Users/husil/Desktop/察雅县图纸成果/02.jpg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husil/Desktop/察雅县图纸成果/02.jpg02"/>
                    <pic:cNvPicPr/>
                  </pic:nvPicPr>
                  <pic:blipFill>
                    <a:blip r:embed="rId10"/>
                    <a:srcRect l="2" r="2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0" w:right="1" w:bottom="6" w:left="1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1" w:fontKey="{4C997FB8-7F0F-4726-AA61-8E9437B1A9C0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2" w:fontKey="{2327A305-FBA6-466C-8503-3571E6FF5024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5D74C9FE-3BC8-469E-AD97-C26724C748BC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4" w:fontKey="{44E7E000-B891-4726-BA00-1407E0D03DC2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5" w:fontKey="{619A4D12-71A9-4E78-A0E5-17FFD1930C15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6936F5A0-911B-41D3-87D3-3F2AF26F13D0}"/>
  </w:font>
  <w:font w:name="WPSEMBED1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WPSEMBED2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01FE5E">
    <w:pPr>
      <w:spacing w:line="181" w:lineRule="auto"/>
      <w:ind w:left="4118"/>
      <w:rPr>
        <w:rFonts w:ascii="Times New Roman" w:hAnsi="Times New Roman" w:eastAsia="Times New Roman" w:cs="Times New Roman"/>
        <w:sz w:val="20"/>
        <w:szCs w:val="20"/>
      </w:rPr>
    </w:pPr>
    <w:r>
      <w:rPr>
        <w:rFonts w:ascii="Times New Roman" w:hAnsi="Times New Roman" w:eastAsia="Times New Roman" w:cs="Times New Roman"/>
        <w:sz w:val="20"/>
        <w:szCs w:val="20"/>
      </w:rPr>
      <w:t>5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55ADFD">
    <w:pPr>
      <w:pStyle w:val="2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734511">
    <w:pPr>
      <w:pStyle w:val="2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isplayBackgroundShape w:val="1"/>
  <w:embedTrueTypeFonts/>
  <w:saveSubsetFonts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compatSetting w:name="compatibilityMode" w:uri="http://schemas.microsoft.com/office/word" w:val="14"/>
  </w:compat>
  <w:rsids>
    <w:rsidRoot w:val="00000000"/>
    <w:rsid w:val="01C63276"/>
    <w:rsid w:val="31300F41"/>
    <w:rsid w:val="345E6795"/>
    <w:rsid w:val="408D50B0"/>
    <w:rsid w:val="5BDB381E"/>
    <w:rsid w:val="63F27B02"/>
    <w:rsid w:val="659265CD"/>
    <w:rsid w:val="68C00829"/>
    <w:rsid w:val="73F449A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header" Target="header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2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actReview xmlns="http://schemas.wps.cn/vas-ai-hub/contract-review">
  <reviewItems/>
  <config/>
</contractReview>
</file>

<file path=customXml/itemProps1.xml><?xml version="1.0" encoding="utf-8"?>
<ds:datastoreItem xmlns:ds="http://schemas.openxmlformats.org/officeDocument/2006/customXml" ds:itemID="{78a0e429-233d-4c9c-8def-82f775c48ed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8</Pages>
  <Words>1418</Words>
  <Characters>1491</Characters>
  <TotalTime>81</TotalTime>
  <ScaleCrop>false</ScaleCrop>
  <LinksUpToDate>false</LinksUpToDate>
  <CharactersWithSpaces>1507</CharactersWithSpaces>
  <Application>WPS Office_12.1.0.25865_F1E327BC-269C-435d-A152-05C5408002CA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2026-05-07T17:16:00Z</dcterms:created>
  <dc:creator>纸鹤</dc:creator>
  <cp:lastModifiedBy>WPS_1639125859</cp:lastModifiedBy>
  <cp:lastPrinted>2026-05-18T03:29:00Z</cp:lastPrinted>
  <dcterms:modified xsi:type="dcterms:W3CDTF">2026-05-18T04:29:38Z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wqlLaW5nc29mdCBQREYgdG8gV1BTIDEyMA</vt:lpwstr>
  </property>
  <property fmtid="{D5CDD505-2E9C-101B-9397-08002B2CF9AE}" pid="3" name="Created">
    <vt:filetime>2026-05-16T21:30:19Z</vt:filetime>
  </property>
  <property fmtid="{D5CDD505-2E9C-101B-9397-08002B2CF9AE}" pid="4" name="KSOTemplateDocerSaveRecord">
    <vt:lpwstr>eyJoZGlkIjoiNmE3NDA5OGZjM2MzMGIzYWZlZDM5NTYzNmQ4OWExYjgiLCJ1c2VySWQiOiIxMzAzODQ2MDI2In0=</vt:lpwstr>
  </property>
  <property fmtid="{D5CDD505-2E9C-101B-9397-08002B2CF9AE}" pid="5" name="KSOProductBuildVer">
    <vt:lpwstr>2052-12.1.0.25865</vt:lpwstr>
  </property>
  <property fmtid="{D5CDD505-2E9C-101B-9397-08002B2CF9AE}" pid="6" name="ICV">
    <vt:lpwstr>977011C83E594A36869FBEDF409D3AA2_13</vt:lpwstr>
  </property>
</Properties>
</file>